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pPr>
      <w:r>
        <w:rPr/>
        <w:t>VIAMED LTD CARBON EMISSIONS REPORT 2025</w:t>
      </w:r>
    </w:p>
    <w:p>
      <w:pPr>
        <w:pStyle w:val="BodyText"/>
        <w:rPr/>
      </w:pPr>
      <w:r>
        <w:rPr/>
        <w:t>Company Name: Viamed Ltd</w:t>
      </w:r>
    </w:p>
    <w:p>
      <w:pPr>
        <w:pStyle w:val="BodyText"/>
        <w:rPr/>
      </w:pPr>
      <w:r>
        <w:rPr/>
        <w:t>Reporting Period: 1 January 2025 – 31 December 2025</w:t>
      </w:r>
    </w:p>
    <w:p>
      <w:pPr>
        <w:pStyle w:val="BodyText"/>
        <w:rPr/>
      </w:pPr>
      <w:r>
        <w:rPr/>
        <w:t>Report Date: October 2026</w:t>
      </w:r>
    </w:p>
    <w:p>
      <w:pPr>
        <w:pStyle w:val="Heading1"/>
        <w:spacing w:before="480" w:after="283"/>
        <w:rPr/>
      </w:pPr>
      <w:r>
        <w:rPr/>
        <w:t>Executive Summary</w:t>
      </w:r>
    </w:p>
    <w:p>
      <w:pPr>
        <w:pStyle w:val="BodyText"/>
        <w:rPr/>
      </w:pPr>
      <w:r>
        <w:rPr/>
        <w:t>This report details the carbon emissions and sustainability performance of Viamed Ltd for the reporting period 1 January 2025 to 31 December 2025.</w:t>
      </w:r>
    </w:p>
    <w:p>
      <w:pPr>
        <w:pStyle w:val="BodyText"/>
        <w:rPr/>
      </w:pPr>
      <w:r>
        <w:rPr/>
        <w:t>The assessment includes Scope 1, Scope 2 and relevant Scope 3 emissions and has been prepared in accordance with the principles of the Greenhouse Gas Protocol Corporate Accounting and Reporting Standard.</w:t>
      </w:r>
    </w:p>
    <w:p>
      <w:pPr>
        <w:pStyle w:val="BodyText"/>
        <w:rPr/>
      </w:pPr>
      <w:r>
        <w:rPr/>
        <w:t>During 2025, Viamed Ltd continued to implement sustainability initiatives including hybrid working, recycling programmes, responsible procurement activities, supplier sustainability engagement and preparation for transition to a 100% renewable electricity supply contract commencing during 2026.</w:t>
      </w:r>
    </w:p>
    <w:p>
      <w:pPr>
        <w:pStyle w:val="BodyText"/>
        <w:rPr/>
      </w:pPr>
      <w:r>
        <w:rPr/>
        <w:t>Turnover increased from £2,670,989 in 2024 to £3,035,705 in 2025 whilst maintaining a lean operational structure and low direct emissions profile.</w:t>
      </w:r>
    </w:p>
    <w:p>
      <w:pPr>
        <w:pStyle w:val="Heading1"/>
        <w:spacing w:before="480" w:after="283"/>
        <w:rPr/>
      </w:pPr>
      <w:r>
        <w:rPr/>
        <w:t>Company Overview</w:t>
      </w:r>
    </w:p>
    <w:p>
      <w:pPr>
        <w:pStyle w:val="BodyText"/>
        <w:rPr/>
      </w:pPr>
      <w:r>
        <w:rPr/>
        <w:t>Viamed Ltd is a UK supplier of medical monitoring equipment, oxygen sensors, medical accessories and associated support services to NHS, healthcare and industrial customers.</w:t>
      </w:r>
    </w:p>
    <w:p>
      <w:pPr>
        <w:pStyle w:val="BodyText"/>
        <w:rPr/>
      </w:pPr>
      <w:r>
        <w:rPr/>
        <w:t>The company operates from UK premises and does not operate a company vehicle fleet. Sustainability considerations are incorporated into business planning, procurement activities and operational decision making.</w:t>
      </w:r>
    </w:p>
    <w:p>
      <w:pPr>
        <w:pStyle w:val="Heading1"/>
        <w:spacing w:before="480" w:after="283"/>
        <w:rPr/>
      </w:pPr>
      <w:r>
        <w:rPr/>
        <w:t>Scope 1 Emissions</w:t>
      </w:r>
    </w:p>
    <w:p>
      <w:pPr>
        <w:pStyle w:val="BodyText"/>
        <w:rPr/>
      </w:pPr>
      <w:r>
        <w:rPr/>
        <w:t>Scope 1 emissions are direct greenhouse gas emissions arising from sources owned or controlled by Viamed Ltd.</w:t>
      </w:r>
    </w:p>
    <w:p>
      <w:pPr>
        <w:pStyle w:val="BodyText"/>
        <w:rPr/>
      </w:pPr>
      <w:r>
        <w:rPr/>
        <w:t>Viamed Ltd does not own or operate company vehicles and does not generate energy on-site. Scope 1 emissions are therefore limited primarily to the use of bottled gases used during testing and verification activities.</w:t>
      </w:r>
    </w:p>
    <w:p>
      <w:pPr>
        <w:pStyle w:val="Heading2"/>
        <w:spacing w:before="200" w:after="283"/>
        <w:rPr/>
      </w:pPr>
      <w:r>
        <w:rPr/>
        <w:t>Scope 1 Summary</w:t>
      </w:r>
    </w:p>
    <w:p>
      <w:pPr>
        <w:pStyle w:val="BodyText"/>
        <w:rPr/>
      </w:pPr>
      <w:r>
        <w:rPr/>
        <w:t>Source:</w:t>
      </w:r>
    </w:p>
    <w:p>
      <w:pPr>
        <w:pStyle w:val="BodyText"/>
        <w:numPr>
          <w:ilvl w:val="0"/>
          <w:numId w:val="7"/>
        </w:numPr>
        <w:tabs>
          <w:tab w:val="clear" w:pos="720"/>
          <w:tab w:val="left" w:pos="0" w:leader="none"/>
        </w:tabs>
        <w:ind w:hanging="283" w:left="709"/>
        <w:rPr/>
      </w:pPr>
      <w:r>
        <w:rPr/>
        <w:t>Bottled gas use for testing and verification activities.</w:t>
      </w:r>
    </w:p>
    <w:p>
      <w:pPr>
        <w:pStyle w:val="BodyText"/>
        <w:rPr/>
      </w:pPr>
      <w:r>
        <w:rPr/>
        <w:t>Estimated Scope 1 Emissions:</w:t>
      </w:r>
    </w:p>
    <w:p>
      <w:pPr>
        <w:pStyle w:val="BodyText"/>
        <w:numPr>
          <w:ilvl w:val="0"/>
          <w:numId w:val="8"/>
        </w:numPr>
        <w:tabs>
          <w:tab w:val="clear" w:pos="720"/>
          <w:tab w:val="left" w:pos="0" w:leader="none"/>
        </w:tabs>
        <w:ind w:hanging="283" w:left="709"/>
        <w:rPr/>
      </w:pPr>
      <w:r>
        <w:rPr/>
        <w:t>0.06 tonnes CO₂e</w:t>
      </w:r>
    </w:p>
    <w:p>
      <w:pPr>
        <w:pStyle w:val="Heading1"/>
        <w:spacing w:before="480" w:after="283"/>
        <w:rPr/>
      </w:pPr>
      <w:r>
        <w:rPr/>
        <w:t>Scope 2 Emissions</w:t>
      </w:r>
    </w:p>
    <w:p>
      <w:pPr>
        <w:pStyle w:val="BodyText"/>
        <w:rPr/>
      </w:pPr>
      <w:r>
        <w:rPr/>
        <w:t>Scope 2 emissions arise from the purchase and consumption of electricity and gas used within company operations.</w:t>
      </w:r>
    </w:p>
    <w:p>
      <w:pPr>
        <w:pStyle w:val="Heading2"/>
        <w:spacing w:before="200" w:after="283"/>
        <w:rPr/>
      </w:pPr>
      <w:r>
        <w:rPr/>
        <w:t>Energy Consumption 2025</w:t>
      </w:r>
    </w:p>
    <w:p>
      <w:pPr>
        <w:pStyle w:val="BodyText"/>
        <w:rPr/>
      </w:pPr>
      <w:r>
        <w:rPr/>
        <w:t>Electricity Consumption:</w:t>
      </w:r>
    </w:p>
    <w:p>
      <w:pPr>
        <w:pStyle w:val="BodyText"/>
        <w:numPr>
          <w:ilvl w:val="0"/>
          <w:numId w:val="9"/>
        </w:numPr>
        <w:tabs>
          <w:tab w:val="clear" w:pos="720"/>
          <w:tab w:val="left" w:pos="0" w:leader="none"/>
        </w:tabs>
        <w:ind w:hanging="283" w:left="709"/>
        <w:rPr/>
      </w:pPr>
      <w:r>
        <w:rPr/>
        <w:t>11,809 kWh</w:t>
      </w:r>
    </w:p>
    <w:p>
      <w:pPr>
        <w:pStyle w:val="BodyText"/>
        <w:rPr/>
      </w:pPr>
      <w:r>
        <w:rPr/>
        <w:t>Gas Consumption:</w:t>
      </w:r>
    </w:p>
    <w:p>
      <w:pPr>
        <w:pStyle w:val="BodyText"/>
        <w:numPr>
          <w:ilvl w:val="0"/>
          <w:numId w:val="10"/>
        </w:numPr>
        <w:tabs>
          <w:tab w:val="clear" w:pos="720"/>
          <w:tab w:val="left" w:pos="0" w:leader="none"/>
        </w:tabs>
        <w:ind w:hanging="283" w:left="709"/>
        <w:rPr/>
      </w:pPr>
      <w:r>
        <w:rPr/>
        <w:t>78,000 kWh</w:t>
      </w:r>
    </w:p>
    <w:p>
      <w:pPr>
        <w:pStyle w:val="BodyText"/>
        <w:rPr/>
      </w:pPr>
      <w:r>
        <w:rPr/>
        <w:t>During 2025 electricity consumption reduced compared with the previous reporting period, reflecting continued attention to energy efficiency and operational management.</w:t>
      </w:r>
    </w:p>
    <w:p>
      <w:pPr>
        <w:pStyle w:val="BodyText"/>
        <w:rPr/>
      </w:pPr>
      <w:r>
        <w:rPr/>
        <w:t>Gas consumption increased compared with the previous reporting period and is reflected within the overall Scope 2 emissions profile.</w:t>
      </w:r>
    </w:p>
    <w:p>
      <w:pPr>
        <w:pStyle w:val="BodyText"/>
        <w:rPr/>
      </w:pPr>
      <w:r>
        <w:rPr/>
        <w:t>Viamed Ltd has committed to transition to a 100% renewable electricity supply contract during 2026 as part of its Carbon Reduction Plan and Sustainability Transition Plan.</w:t>
      </w:r>
    </w:p>
    <w:p>
      <w:pPr>
        <w:pStyle w:val="BodyText"/>
        <w:rPr/>
      </w:pPr>
      <w:r>
        <w:rPr/>
        <w:t>Detailed emissions calculations are reviewed annually using current UK Government conversion factors and reported within the company's Carbon Reduction Plan and NHS Evergreen Assessment submissions.</w:t>
      </w:r>
    </w:p>
    <w:p>
      <w:pPr>
        <w:pStyle w:val="Heading1"/>
        <w:spacing w:before="480" w:after="283"/>
        <w:rPr/>
      </w:pPr>
      <w:r>
        <w:rPr/>
        <w:t>Scope 3 Emissions</w:t>
      </w:r>
    </w:p>
    <w:p>
      <w:pPr>
        <w:pStyle w:val="BodyText"/>
        <w:rPr/>
      </w:pPr>
      <w:r>
        <w:rPr/>
        <w:t>Scope 3 emissions include indirect emissions arising throughout the value chain.</w:t>
      </w:r>
    </w:p>
    <w:p>
      <w:pPr>
        <w:pStyle w:val="BodyText"/>
        <w:rPr/>
      </w:pPr>
      <w:r>
        <w:rPr/>
        <w:t>Relevant categories considered include:</w:t>
      </w:r>
    </w:p>
    <w:p>
      <w:pPr>
        <w:pStyle w:val="BodyText"/>
        <w:numPr>
          <w:ilvl w:val="0"/>
          <w:numId w:val="11"/>
        </w:numPr>
        <w:tabs>
          <w:tab w:val="clear" w:pos="720"/>
          <w:tab w:val="left" w:pos="0" w:leader="none"/>
        </w:tabs>
        <w:ind w:hanging="283" w:left="709"/>
        <w:rPr/>
      </w:pPr>
      <w:r>
        <w:rPr/>
        <w:t>Purchased Goods and Services</w:t>
      </w:r>
    </w:p>
    <w:p>
      <w:pPr>
        <w:pStyle w:val="BodyText"/>
        <w:numPr>
          <w:ilvl w:val="0"/>
          <w:numId w:val="11"/>
        </w:numPr>
        <w:tabs>
          <w:tab w:val="clear" w:pos="720"/>
          <w:tab w:val="left" w:pos="0" w:leader="none"/>
        </w:tabs>
        <w:ind w:hanging="283" w:left="709"/>
        <w:rPr/>
      </w:pPr>
      <w:r>
        <w:rPr/>
        <w:t>Capital Goods</w:t>
      </w:r>
    </w:p>
    <w:p>
      <w:pPr>
        <w:pStyle w:val="BodyText"/>
        <w:numPr>
          <w:ilvl w:val="0"/>
          <w:numId w:val="11"/>
        </w:numPr>
        <w:tabs>
          <w:tab w:val="clear" w:pos="720"/>
          <w:tab w:val="left" w:pos="0" w:leader="none"/>
        </w:tabs>
        <w:ind w:hanging="283" w:left="709"/>
        <w:rPr/>
      </w:pPr>
      <w:r>
        <w:rPr/>
        <w:t>Fuel and Energy Related Activities</w:t>
      </w:r>
    </w:p>
    <w:p>
      <w:pPr>
        <w:pStyle w:val="BodyText"/>
        <w:numPr>
          <w:ilvl w:val="0"/>
          <w:numId w:val="11"/>
        </w:numPr>
        <w:tabs>
          <w:tab w:val="clear" w:pos="720"/>
          <w:tab w:val="left" w:pos="0" w:leader="none"/>
        </w:tabs>
        <w:ind w:hanging="283" w:left="709"/>
        <w:rPr/>
      </w:pPr>
      <w:r>
        <w:rPr/>
        <w:t>Business Travel</w:t>
      </w:r>
    </w:p>
    <w:p>
      <w:pPr>
        <w:pStyle w:val="BodyText"/>
        <w:numPr>
          <w:ilvl w:val="0"/>
          <w:numId w:val="11"/>
        </w:numPr>
        <w:tabs>
          <w:tab w:val="clear" w:pos="720"/>
          <w:tab w:val="left" w:pos="0" w:leader="none"/>
        </w:tabs>
        <w:ind w:hanging="283" w:left="709"/>
        <w:rPr/>
      </w:pPr>
      <w:r>
        <w:rPr/>
        <w:t>Employee Commuting</w:t>
      </w:r>
    </w:p>
    <w:p>
      <w:pPr>
        <w:pStyle w:val="BodyText"/>
        <w:numPr>
          <w:ilvl w:val="0"/>
          <w:numId w:val="11"/>
        </w:numPr>
        <w:tabs>
          <w:tab w:val="clear" w:pos="720"/>
          <w:tab w:val="left" w:pos="0" w:leader="none"/>
        </w:tabs>
        <w:ind w:hanging="283" w:left="709"/>
        <w:rPr/>
      </w:pPr>
      <w:r>
        <w:rPr/>
        <w:t>Waste Generated in Operations</w:t>
      </w:r>
    </w:p>
    <w:p>
      <w:pPr>
        <w:pStyle w:val="BodyText"/>
        <w:numPr>
          <w:ilvl w:val="0"/>
          <w:numId w:val="11"/>
        </w:numPr>
        <w:tabs>
          <w:tab w:val="clear" w:pos="720"/>
          <w:tab w:val="left" w:pos="0" w:leader="none"/>
        </w:tabs>
        <w:ind w:hanging="283" w:left="709"/>
        <w:rPr/>
      </w:pPr>
      <w:r>
        <w:rPr/>
        <w:t>Upstream Transportation and Distribution</w:t>
      </w:r>
    </w:p>
    <w:p>
      <w:pPr>
        <w:pStyle w:val="BodyText"/>
        <w:numPr>
          <w:ilvl w:val="0"/>
          <w:numId w:val="11"/>
        </w:numPr>
        <w:tabs>
          <w:tab w:val="clear" w:pos="720"/>
          <w:tab w:val="left" w:pos="0" w:leader="none"/>
        </w:tabs>
        <w:ind w:hanging="283" w:left="709"/>
        <w:rPr/>
      </w:pPr>
      <w:r>
        <w:rPr/>
        <w:t>Downstream Transportation and Distribution</w:t>
      </w:r>
    </w:p>
    <w:p>
      <w:pPr>
        <w:pStyle w:val="BodyText"/>
        <w:numPr>
          <w:ilvl w:val="0"/>
          <w:numId w:val="11"/>
        </w:numPr>
        <w:tabs>
          <w:tab w:val="clear" w:pos="720"/>
          <w:tab w:val="left" w:pos="0" w:leader="none"/>
        </w:tabs>
        <w:ind w:hanging="283" w:left="709"/>
        <w:rPr/>
      </w:pPr>
      <w:r>
        <w:rPr/>
        <w:t>Processing of Sold Products</w:t>
      </w:r>
    </w:p>
    <w:p>
      <w:pPr>
        <w:pStyle w:val="BodyText"/>
        <w:numPr>
          <w:ilvl w:val="0"/>
          <w:numId w:val="11"/>
        </w:numPr>
        <w:tabs>
          <w:tab w:val="clear" w:pos="720"/>
          <w:tab w:val="left" w:pos="0" w:leader="none"/>
        </w:tabs>
        <w:ind w:hanging="283" w:left="709"/>
        <w:rPr/>
      </w:pPr>
      <w:r>
        <w:rPr/>
        <w:t>Use of Sold Products</w:t>
      </w:r>
    </w:p>
    <w:p>
      <w:pPr>
        <w:pStyle w:val="BodyText"/>
        <w:numPr>
          <w:ilvl w:val="0"/>
          <w:numId w:val="11"/>
        </w:numPr>
        <w:tabs>
          <w:tab w:val="clear" w:pos="720"/>
          <w:tab w:val="left" w:pos="0" w:leader="none"/>
        </w:tabs>
        <w:ind w:hanging="283" w:left="709"/>
        <w:rPr/>
      </w:pPr>
      <w:r>
        <w:rPr/>
        <w:t>End-of-Life Treatment of Sold Products</w:t>
      </w:r>
    </w:p>
    <w:p>
      <w:pPr>
        <w:pStyle w:val="BodyText"/>
        <w:rPr/>
      </w:pPr>
      <w:r>
        <w:rPr/>
        <w:t>Operational review indicates that supplier purchasing patterns, courier activity, waste generation and business travel remained broadly consistent with 2024 levels.</w:t>
      </w:r>
    </w:p>
    <w:p>
      <w:pPr>
        <w:pStyle w:val="BodyText"/>
        <w:rPr/>
      </w:pPr>
      <w:r>
        <w:rPr/>
        <w:t>The company maintained hybrid working arrangements throughout the reporting period and employed 18 full-time and part-time staff.</w:t>
      </w:r>
    </w:p>
    <w:p>
      <w:pPr>
        <w:pStyle w:val="Heading1"/>
        <w:spacing w:before="480" w:after="283"/>
        <w:rPr/>
      </w:pPr>
      <w:r>
        <w:rPr/>
        <w:t>Sustainability and Environmental Improvements During 2025</w:t>
      </w:r>
    </w:p>
    <w:p>
      <w:pPr>
        <w:pStyle w:val="BodyText"/>
        <w:rPr/>
      </w:pPr>
      <w:r>
        <w:rPr/>
        <w:t>Key sustainability initiatives undertaken or progressed during 2025 include:</w:t>
      </w:r>
    </w:p>
    <w:p>
      <w:pPr>
        <w:pStyle w:val="BodyText"/>
        <w:numPr>
          <w:ilvl w:val="0"/>
          <w:numId w:val="12"/>
        </w:numPr>
        <w:tabs>
          <w:tab w:val="clear" w:pos="720"/>
          <w:tab w:val="left" w:pos="0" w:leader="none"/>
        </w:tabs>
        <w:ind w:hanging="283" w:left="709"/>
        <w:rPr/>
      </w:pPr>
      <w:r>
        <w:rPr/>
        <w:t>Continued hybrid and flexible working arrangements.</w:t>
      </w:r>
    </w:p>
    <w:p>
      <w:pPr>
        <w:pStyle w:val="BodyText"/>
        <w:numPr>
          <w:ilvl w:val="0"/>
          <w:numId w:val="12"/>
        </w:numPr>
        <w:tabs>
          <w:tab w:val="clear" w:pos="720"/>
          <w:tab w:val="left" w:pos="0" w:leader="none"/>
        </w:tabs>
        <w:ind w:hanging="283" w:left="709"/>
        <w:rPr/>
      </w:pPr>
      <w:r>
        <w:rPr/>
        <w:t>Reduction in electricity consumption compared with 2024.</w:t>
      </w:r>
    </w:p>
    <w:p>
      <w:pPr>
        <w:pStyle w:val="BodyText"/>
        <w:numPr>
          <w:ilvl w:val="0"/>
          <w:numId w:val="12"/>
        </w:numPr>
        <w:tabs>
          <w:tab w:val="clear" w:pos="720"/>
          <w:tab w:val="left" w:pos="0" w:leader="none"/>
        </w:tabs>
        <w:ind w:hanging="283" w:left="709"/>
        <w:rPr/>
      </w:pPr>
      <w:r>
        <w:rPr/>
        <w:t>Ongoing recycling of paper, cardboard, plastics, batteries and electronic waste.</w:t>
      </w:r>
    </w:p>
    <w:p>
      <w:pPr>
        <w:pStyle w:val="BodyText"/>
        <w:numPr>
          <w:ilvl w:val="0"/>
          <w:numId w:val="12"/>
        </w:numPr>
        <w:tabs>
          <w:tab w:val="clear" w:pos="720"/>
          <w:tab w:val="left" w:pos="0" w:leader="none"/>
        </w:tabs>
        <w:ind w:hanging="283" w:left="709"/>
        <w:rPr/>
      </w:pPr>
      <w:r>
        <w:rPr/>
        <w:t>Continued responsible disposal and recycling initiatives for oxygen sensors and electronic products where applicable.</w:t>
      </w:r>
    </w:p>
    <w:p>
      <w:pPr>
        <w:pStyle w:val="BodyText"/>
        <w:numPr>
          <w:ilvl w:val="0"/>
          <w:numId w:val="12"/>
        </w:numPr>
        <w:tabs>
          <w:tab w:val="clear" w:pos="720"/>
          <w:tab w:val="left" w:pos="0" w:leader="none"/>
        </w:tabs>
        <w:ind w:hanging="283" w:left="709"/>
        <w:rPr/>
      </w:pPr>
      <w:r>
        <w:rPr/>
        <w:t>Evaluation of food waste composting opportunities within staff facilities.</w:t>
      </w:r>
    </w:p>
    <w:p>
      <w:pPr>
        <w:pStyle w:val="BodyText"/>
        <w:numPr>
          <w:ilvl w:val="0"/>
          <w:numId w:val="12"/>
        </w:numPr>
        <w:tabs>
          <w:tab w:val="clear" w:pos="720"/>
          <w:tab w:val="left" w:pos="0" w:leader="none"/>
        </w:tabs>
        <w:ind w:hanging="283" w:left="709"/>
        <w:rPr/>
      </w:pPr>
      <w:r>
        <w:rPr/>
        <w:t>Continued use of logistics providers with published sustainability commitments.</w:t>
      </w:r>
    </w:p>
    <w:p>
      <w:pPr>
        <w:pStyle w:val="BodyText"/>
        <w:numPr>
          <w:ilvl w:val="0"/>
          <w:numId w:val="12"/>
        </w:numPr>
        <w:tabs>
          <w:tab w:val="clear" w:pos="720"/>
          <w:tab w:val="left" w:pos="0" w:leader="none"/>
        </w:tabs>
        <w:ind w:hanging="283" w:left="709"/>
        <w:rPr/>
      </w:pPr>
      <w:r>
        <w:rPr/>
        <w:t>Preparation for transition to a 100% renewable electricity contract during 2026.</w:t>
      </w:r>
    </w:p>
    <w:p>
      <w:pPr>
        <w:pStyle w:val="Heading1"/>
        <w:spacing w:before="480" w:after="283"/>
        <w:rPr/>
      </w:pPr>
      <w:r>
        <w:rPr/>
        <w:t>Supply Chain Sustainability and Responsible Procurement</w:t>
      </w:r>
    </w:p>
    <w:p>
      <w:pPr>
        <w:pStyle w:val="BodyText"/>
        <w:rPr/>
      </w:pPr>
      <w:r>
        <w:rPr/>
        <w:t>Viamed Ltd recognises that a significant proportion of environmental impact arises within the supply chain.</w:t>
      </w:r>
    </w:p>
    <w:p>
      <w:pPr>
        <w:pStyle w:val="BodyText"/>
        <w:rPr/>
      </w:pPr>
      <w:r>
        <w:rPr/>
        <w:t>During 2025 the company continued to strengthen supplier sustainability oversight through:</w:t>
      </w:r>
    </w:p>
    <w:p>
      <w:pPr>
        <w:pStyle w:val="BodyText"/>
        <w:numPr>
          <w:ilvl w:val="0"/>
          <w:numId w:val="13"/>
        </w:numPr>
        <w:tabs>
          <w:tab w:val="clear" w:pos="720"/>
          <w:tab w:val="left" w:pos="0" w:leader="none"/>
        </w:tabs>
        <w:ind w:hanging="283" w:left="709"/>
        <w:rPr/>
      </w:pPr>
      <w:r>
        <w:rPr/>
        <w:t>Supplier approval and review processes.</w:t>
      </w:r>
    </w:p>
    <w:p>
      <w:pPr>
        <w:pStyle w:val="BodyText"/>
        <w:numPr>
          <w:ilvl w:val="0"/>
          <w:numId w:val="13"/>
        </w:numPr>
        <w:tabs>
          <w:tab w:val="clear" w:pos="720"/>
          <w:tab w:val="left" w:pos="0" w:leader="none"/>
        </w:tabs>
        <w:ind w:hanging="283" w:left="709"/>
        <w:rPr/>
      </w:pPr>
      <w:r>
        <w:rPr/>
        <w:t>Supplier Code of Conduct implementation.</w:t>
      </w:r>
    </w:p>
    <w:p>
      <w:pPr>
        <w:pStyle w:val="BodyText"/>
        <w:numPr>
          <w:ilvl w:val="0"/>
          <w:numId w:val="13"/>
        </w:numPr>
        <w:tabs>
          <w:tab w:val="clear" w:pos="720"/>
          <w:tab w:val="left" w:pos="0" w:leader="none"/>
        </w:tabs>
        <w:ind w:hanging="283" w:left="709"/>
        <w:rPr/>
      </w:pPr>
      <w:r>
        <w:rPr/>
        <w:t>Ethical sourcing and responsible procurement assessments.</w:t>
      </w:r>
    </w:p>
    <w:p>
      <w:pPr>
        <w:pStyle w:val="BodyText"/>
        <w:numPr>
          <w:ilvl w:val="0"/>
          <w:numId w:val="13"/>
        </w:numPr>
        <w:tabs>
          <w:tab w:val="clear" w:pos="720"/>
          <w:tab w:val="left" w:pos="0" w:leader="none"/>
        </w:tabs>
        <w:ind w:hanging="283" w:left="709"/>
        <w:rPr/>
      </w:pPr>
      <w:r>
        <w:rPr/>
        <w:t>Modern Slavery due diligence activities.</w:t>
      </w:r>
    </w:p>
    <w:p>
      <w:pPr>
        <w:pStyle w:val="BodyText"/>
        <w:numPr>
          <w:ilvl w:val="0"/>
          <w:numId w:val="13"/>
        </w:numPr>
        <w:tabs>
          <w:tab w:val="clear" w:pos="720"/>
          <w:tab w:val="left" w:pos="0" w:leader="none"/>
        </w:tabs>
        <w:ind w:hanging="283" w:left="709"/>
        <w:rPr/>
      </w:pPr>
      <w:r>
        <w:rPr/>
        <w:t>Supplier sustainability engagement and information gathering.</w:t>
      </w:r>
    </w:p>
    <w:p>
      <w:pPr>
        <w:pStyle w:val="BodyText"/>
        <w:numPr>
          <w:ilvl w:val="0"/>
          <w:numId w:val="13"/>
        </w:numPr>
        <w:tabs>
          <w:tab w:val="clear" w:pos="720"/>
          <w:tab w:val="left" w:pos="0" w:leader="none"/>
        </w:tabs>
        <w:ind w:hanging="283" w:left="709"/>
        <w:rPr/>
      </w:pPr>
      <w:r>
        <w:rPr/>
        <w:t>Monitoring of supplier payment performance and purchasing practices.</w:t>
      </w:r>
    </w:p>
    <w:p>
      <w:pPr>
        <w:pStyle w:val="BodyText"/>
        <w:numPr>
          <w:ilvl w:val="0"/>
          <w:numId w:val="13"/>
        </w:numPr>
        <w:tabs>
          <w:tab w:val="clear" w:pos="720"/>
          <w:tab w:val="left" w:pos="0" w:leader="none"/>
        </w:tabs>
        <w:ind w:hanging="283" w:left="709"/>
        <w:rPr/>
      </w:pPr>
      <w:r>
        <w:rPr/>
        <w:t>Development of Tier 1 supplier sustainability and traceability initiatives.</w:t>
      </w:r>
    </w:p>
    <w:p>
      <w:pPr>
        <w:pStyle w:val="BodyText"/>
        <w:rPr/>
      </w:pPr>
      <w:r>
        <w:rPr/>
        <w:t>These activities support the company's longer-term Scope 3 emissions reduction objectives.</w:t>
      </w:r>
    </w:p>
    <w:p>
      <w:pPr>
        <w:pStyle w:val="Heading1"/>
        <w:spacing w:before="480" w:after="283"/>
        <w:rPr/>
      </w:pPr>
      <w:r>
        <w:rPr/>
        <w:t>Sustainability KPI Summary 2025</w:t>
      </w:r>
    </w:p>
    <w:tbl>
      <w:tblPr>
        <w:tblW w:w="6294" w:type="dxa"/>
        <w:jc w:val="left"/>
        <w:tblInd w:w="28" w:type="dxa"/>
        <w:tblLayout w:type="fixed"/>
        <w:tblCellMar>
          <w:top w:w="28" w:type="dxa"/>
          <w:left w:w="28" w:type="dxa"/>
          <w:bottom w:w="28" w:type="dxa"/>
          <w:right w:w="28" w:type="dxa"/>
        </w:tblCellMar>
      </w:tblPr>
      <w:tblGrid>
        <w:gridCol w:w="3089"/>
        <w:gridCol w:w="3205"/>
      </w:tblGrid>
      <w:tr>
        <w:trPr>
          <w:tblHeader w:val="true"/>
        </w:trPr>
        <w:tc>
          <w:tcPr>
            <w:tcW w:w="3089" w:type="dxa"/>
            <w:tcBorders/>
            <w:vAlign w:val="center"/>
          </w:tcPr>
          <w:p>
            <w:pPr>
              <w:pStyle w:val="TableHeading"/>
              <w:suppressLineNumbers/>
              <w:spacing w:before="0" w:after="200"/>
              <w:jc w:val="center"/>
              <w:rPr/>
            </w:pPr>
            <w:r>
              <w:rPr/>
              <w:t>KPI</w:t>
            </w:r>
          </w:p>
        </w:tc>
        <w:tc>
          <w:tcPr>
            <w:tcW w:w="3205" w:type="dxa"/>
            <w:tcBorders/>
            <w:vAlign w:val="center"/>
          </w:tcPr>
          <w:p>
            <w:pPr>
              <w:pStyle w:val="TableHeading"/>
              <w:suppressLineNumbers/>
              <w:spacing w:before="0" w:after="200"/>
              <w:jc w:val="center"/>
              <w:rPr/>
            </w:pPr>
            <w:r>
              <w:rPr/>
              <w:t>Status</w:t>
            </w:r>
          </w:p>
        </w:tc>
      </w:tr>
      <w:tr>
        <w:trPr/>
        <w:tc>
          <w:tcPr>
            <w:tcW w:w="3089" w:type="dxa"/>
            <w:tcBorders/>
            <w:vAlign w:val="center"/>
          </w:tcPr>
          <w:p>
            <w:pPr>
              <w:pStyle w:val="TableContents"/>
              <w:widowControl w:val="false"/>
              <w:suppressLineNumbers/>
              <w:spacing w:before="0" w:after="200"/>
              <w:rPr/>
            </w:pPr>
            <w:r>
              <w:rPr/>
              <w:t>Annual Carbon Review</w:t>
            </w:r>
          </w:p>
        </w:tc>
        <w:tc>
          <w:tcPr>
            <w:tcW w:w="3205" w:type="dxa"/>
            <w:tcBorders/>
            <w:vAlign w:val="center"/>
          </w:tcPr>
          <w:p>
            <w:pPr>
              <w:pStyle w:val="TableContents"/>
              <w:widowControl w:val="false"/>
              <w:suppressLineNumbers/>
              <w:spacing w:before="0" w:after="200"/>
              <w:rPr/>
            </w:pPr>
            <w:r>
              <w:rPr/>
              <w:t>Completed</w:t>
            </w:r>
          </w:p>
        </w:tc>
      </w:tr>
      <w:tr>
        <w:trPr/>
        <w:tc>
          <w:tcPr>
            <w:tcW w:w="3089" w:type="dxa"/>
            <w:tcBorders/>
            <w:vAlign w:val="center"/>
          </w:tcPr>
          <w:p>
            <w:pPr>
              <w:pStyle w:val="TableContents"/>
              <w:widowControl w:val="false"/>
              <w:suppressLineNumbers/>
              <w:spacing w:before="0" w:after="200"/>
              <w:rPr/>
            </w:pPr>
            <w:r>
              <w:rPr/>
              <w:t>Carbon Emissions Report</w:t>
            </w:r>
          </w:p>
        </w:tc>
        <w:tc>
          <w:tcPr>
            <w:tcW w:w="3205" w:type="dxa"/>
            <w:tcBorders/>
            <w:vAlign w:val="center"/>
          </w:tcPr>
          <w:p>
            <w:pPr>
              <w:pStyle w:val="TableContents"/>
              <w:widowControl w:val="false"/>
              <w:suppressLineNumbers/>
              <w:spacing w:before="0" w:after="200"/>
              <w:rPr/>
            </w:pPr>
            <w:r>
              <w:rPr/>
              <w:t>Published</w:t>
            </w:r>
          </w:p>
        </w:tc>
      </w:tr>
      <w:tr>
        <w:trPr/>
        <w:tc>
          <w:tcPr>
            <w:tcW w:w="3089" w:type="dxa"/>
            <w:tcBorders/>
            <w:vAlign w:val="center"/>
          </w:tcPr>
          <w:p>
            <w:pPr>
              <w:pStyle w:val="TableContents"/>
              <w:widowControl w:val="false"/>
              <w:suppressLineNumbers/>
              <w:spacing w:before="0" w:after="200"/>
              <w:rPr/>
            </w:pPr>
            <w:r>
              <w:rPr/>
              <w:t>Carbon Reduction Plan</w:t>
            </w:r>
          </w:p>
        </w:tc>
        <w:tc>
          <w:tcPr>
            <w:tcW w:w="3205" w:type="dxa"/>
            <w:tcBorders/>
            <w:vAlign w:val="center"/>
          </w:tcPr>
          <w:p>
            <w:pPr>
              <w:pStyle w:val="TableContents"/>
              <w:widowControl w:val="false"/>
              <w:suppressLineNumbers/>
              <w:spacing w:before="0" w:after="200"/>
              <w:rPr/>
            </w:pPr>
            <w:r>
              <w:rPr/>
              <w:t>Maintained</w:t>
            </w:r>
          </w:p>
        </w:tc>
      </w:tr>
      <w:tr>
        <w:trPr/>
        <w:tc>
          <w:tcPr>
            <w:tcW w:w="3089" w:type="dxa"/>
            <w:tcBorders/>
            <w:vAlign w:val="center"/>
          </w:tcPr>
          <w:p>
            <w:pPr>
              <w:pStyle w:val="TableContents"/>
              <w:widowControl w:val="false"/>
              <w:suppressLineNumbers/>
              <w:spacing w:before="0" w:after="200"/>
              <w:rPr/>
            </w:pPr>
            <w:r>
              <w:rPr/>
              <w:t>Supplier Code of Conduct</w:t>
            </w:r>
          </w:p>
        </w:tc>
        <w:tc>
          <w:tcPr>
            <w:tcW w:w="3205" w:type="dxa"/>
            <w:tcBorders/>
            <w:vAlign w:val="center"/>
          </w:tcPr>
          <w:p>
            <w:pPr>
              <w:pStyle w:val="TableContents"/>
              <w:widowControl w:val="false"/>
              <w:suppressLineNumbers/>
              <w:spacing w:before="0" w:after="200"/>
              <w:rPr/>
            </w:pPr>
            <w:r>
              <w:rPr/>
              <w:t>Implemented</w:t>
            </w:r>
          </w:p>
        </w:tc>
      </w:tr>
      <w:tr>
        <w:trPr/>
        <w:tc>
          <w:tcPr>
            <w:tcW w:w="3089" w:type="dxa"/>
            <w:tcBorders/>
            <w:vAlign w:val="center"/>
          </w:tcPr>
          <w:p>
            <w:pPr>
              <w:pStyle w:val="TableContents"/>
              <w:widowControl w:val="false"/>
              <w:suppressLineNumbers/>
              <w:spacing w:before="0" w:after="200"/>
              <w:rPr/>
            </w:pPr>
            <w:r>
              <w:rPr/>
              <w:t>Modern Slavery Statement</w:t>
            </w:r>
          </w:p>
        </w:tc>
        <w:tc>
          <w:tcPr>
            <w:tcW w:w="3205" w:type="dxa"/>
            <w:tcBorders/>
            <w:vAlign w:val="center"/>
          </w:tcPr>
          <w:p>
            <w:pPr>
              <w:pStyle w:val="TableContents"/>
              <w:widowControl w:val="false"/>
              <w:suppressLineNumbers/>
              <w:spacing w:before="0" w:after="200"/>
              <w:rPr/>
            </w:pPr>
            <w:r>
              <w:rPr/>
              <w:t>Published</w:t>
            </w:r>
          </w:p>
        </w:tc>
      </w:tr>
      <w:tr>
        <w:trPr/>
        <w:tc>
          <w:tcPr>
            <w:tcW w:w="3089" w:type="dxa"/>
            <w:tcBorders/>
            <w:vAlign w:val="center"/>
          </w:tcPr>
          <w:p>
            <w:pPr>
              <w:pStyle w:val="TableContents"/>
              <w:widowControl w:val="false"/>
              <w:suppressLineNumbers/>
              <w:spacing w:before="0" w:after="200"/>
              <w:rPr/>
            </w:pPr>
            <w:r>
              <w:rPr/>
              <w:t>Ethical Sourcing Assessment</w:t>
            </w:r>
          </w:p>
        </w:tc>
        <w:tc>
          <w:tcPr>
            <w:tcW w:w="3205" w:type="dxa"/>
            <w:tcBorders/>
            <w:vAlign w:val="center"/>
          </w:tcPr>
          <w:p>
            <w:pPr>
              <w:pStyle w:val="TableContents"/>
              <w:widowControl w:val="false"/>
              <w:suppressLineNumbers/>
              <w:spacing w:before="0" w:after="200"/>
              <w:rPr/>
            </w:pPr>
            <w:r>
              <w:rPr/>
              <w:t>Completed</w:t>
            </w:r>
          </w:p>
        </w:tc>
      </w:tr>
      <w:tr>
        <w:trPr/>
        <w:tc>
          <w:tcPr>
            <w:tcW w:w="3089" w:type="dxa"/>
            <w:tcBorders/>
            <w:vAlign w:val="center"/>
          </w:tcPr>
          <w:p>
            <w:pPr>
              <w:pStyle w:val="TableContents"/>
              <w:widowControl w:val="false"/>
              <w:suppressLineNumbers/>
              <w:spacing w:before="0" w:after="200"/>
              <w:rPr/>
            </w:pPr>
            <w:r>
              <w:rPr/>
              <w:t>Hybrid Working Programme</w:t>
            </w:r>
          </w:p>
        </w:tc>
        <w:tc>
          <w:tcPr>
            <w:tcW w:w="3205" w:type="dxa"/>
            <w:tcBorders/>
            <w:vAlign w:val="center"/>
          </w:tcPr>
          <w:p>
            <w:pPr>
              <w:pStyle w:val="TableContents"/>
              <w:widowControl w:val="false"/>
              <w:suppressLineNumbers/>
              <w:spacing w:before="0" w:after="200"/>
              <w:rPr/>
            </w:pPr>
            <w:r>
              <w:rPr/>
              <w:t>Active</w:t>
            </w:r>
          </w:p>
        </w:tc>
      </w:tr>
      <w:tr>
        <w:trPr/>
        <w:tc>
          <w:tcPr>
            <w:tcW w:w="3089" w:type="dxa"/>
            <w:tcBorders/>
            <w:vAlign w:val="center"/>
          </w:tcPr>
          <w:p>
            <w:pPr>
              <w:pStyle w:val="TableContents"/>
              <w:widowControl w:val="false"/>
              <w:suppressLineNumbers/>
              <w:spacing w:before="0" w:after="200"/>
              <w:rPr/>
            </w:pPr>
            <w:r>
              <w:rPr/>
              <w:t>Supplier Sustainability Reviews</w:t>
            </w:r>
          </w:p>
        </w:tc>
        <w:tc>
          <w:tcPr>
            <w:tcW w:w="3205" w:type="dxa"/>
            <w:tcBorders/>
            <w:vAlign w:val="center"/>
          </w:tcPr>
          <w:p>
            <w:pPr>
              <w:pStyle w:val="TableContents"/>
              <w:widowControl w:val="false"/>
              <w:suppressLineNumbers/>
              <w:spacing w:before="0" w:after="200"/>
              <w:rPr/>
            </w:pPr>
            <w:r>
              <w:rPr/>
              <w:t>Ongoing</w:t>
            </w:r>
          </w:p>
        </w:tc>
      </w:tr>
      <w:tr>
        <w:trPr/>
        <w:tc>
          <w:tcPr>
            <w:tcW w:w="3089" w:type="dxa"/>
            <w:tcBorders/>
            <w:vAlign w:val="center"/>
          </w:tcPr>
          <w:p>
            <w:pPr>
              <w:pStyle w:val="TableContents"/>
              <w:widowControl w:val="false"/>
              <w:suppressLineNumbers/>
              <w:spacing w:before="0" w:after="200"/>
              <w:rPr/>
            </w:pPr>
            <w:r>
              <w:rPr/>
              <w:t>Renewable Electricity Contract</w:t>
            </w:r>
          </w:p>
        </w:tc>
        <w:tc>
          <w:tcPr>
            <w:tcW w:w="3205" w:type="dxa"/>
            <w:tcBorders/>
            <w:vAlign w:val="center"/>
          </w:tcPr>
          <w:p>
            <w:pPr>
              <w:pStyle w:val="TableContents"/>
              <w:widowControl w:val="false"/>
              <w:suppressLineNumbers/>
              <w:spacing w:before="0" w:after="200"/>
              <w:rPr/>
            </w:pPr>
            <w:r>
              <w:rPr/>
              <w:t>Signed for 2026 Implementation</w:t>
            </w:r>
          </w:p>
        </w:tc>
      </w:tr>
      <w:tr>
        <w:trPr/>
        <w:tc>
          <w:tcPr>
            <w:tcW w:w="3089" w:type="dxa"/>
            <w:tcBorders/>
            <w:vAlign w:val="center"/>
          </w:tcPr>
          <w:p>
            <w:pPr>
              <w:pStyle w:val="TableContents"/>
              <w:widowControl w:val="false"/>
              <w:suppressLineNumbers/>
              <w:spacing w:before="0" w:after="200"/>
              <w:rPr/>
            </w:pPr>
            <w:r>
              <w:rPr/>
              <w:t>Recycling Programme</w:t>
            </w:r>
          </w:p>
        </w:tc>
        <w:tc>
          <w:tcPr>
            <w:tcW w:w="3205" w:type="dxa"/>
            <w:tcBorders/>
            <w:vAlign w:val="center"/>
          </w:tcPr>
          <w:p>
            <w:pPr>
              <w:pStyle w:val="TableContents"/>
              <w:widowControl w:val="false"/>
              <w:suppressLineNumbers/>
              <w:spacing w:before="0" w:after="200"/>
              <w:rPr/>
            </w:pPr>
            <w:r>
              <w:rPr/>
              <w:t>Active</w:t>
            </w:r>
          </w:p>
        </w:tc>
      </w:tr>
      <w:tr>
        <w:trPr/>
        <w:tc>
          <w:tcPr>
            <w:tcW w:w="3089" w:type="dxa"/>
            <w:tcBorders/>
            <w:vAlign w:val="center"/>
          </w:tcPr>
          <w:p>
            <w:pPr>
              <w:pStyle w:val="TableContents"/>
              <w:widowControl w:val="false"/>
              <w:suppressLineNumbers/>
              <w:spacing w:before="0" w:after="200"/>
              <w:rPr/>
            </w:pPr>
            <w:r>
              <w:rPr/>
              <w:t>Business Continuity Planning</w:t>
            </w:r>
          </w:p>
        </w:tc>
        <w:tc>
          <w:tcPr>
            <w:tcW w:w="3205" w:type="dxa"/>
            <w:tcBorders/>
            <w:vAlign w:val="center"/>
          </w:tcPr>
          <w:p>
            <w:pPr>
              <w:pStyle w:val="TableContents"/>
              <w:widowControl w:val="false"/>
              <w:suppressLineNumbers/>
              <w:spacing w:before="0" w:after="200"/>
              <w:rPr/>
            </w:pPr>
            <w:r>
              <w:rPr/>
              <w:t>Maintained</w:t>
            </w:r>
          </w:p>
        </w:tc>
      </w:tr>
      <w:tr>
        <w:trPr/>
        <w:tc>
          <w:tcPr>
            <w:tcW w:w="3089" w:type="dxa"/>
            <w:tcBorders/>
            <w:vAlign w:val="center"/>
          </w:tcPr>
          <w:p>
            <w:pPr>
              <w:pStyle w:val="TableContents"/>
              <w:widowControl w:val="false"/>
              <w:suppressLineNumbers/>
              <w:spacing w:before="0" w:after="200"/>
              <w:rPr/>
            </w:pPr>
            <w:r>
              <w:rPr/>
              <w:t>Social Value Programme</w:t>
            </w:r>
          </w:p>
        </w:tc>
        <w:tc>
          <w:tcPr>
            <w:tcW w:w="3205" w:type="dxa"/>
            <w:tcBorders/>
            <w:vAlign w:val="center"/>
          </w:tcPr>
          <w:p>
            <w:pPr>
              <w:pStyle w:val="TableContents"/>
              <w:widowControl w:val="false"/>
              <w:suppressLineNumbers/>
              <w:spacing w:before="0" w:after="200"/>
              <w:rPr/>
            </w:pPr>
            <w:r>
              <w:rPr/>
              <w:t>Active</w:t>
            </w:r>
          </w:p>
        </w:tc>
      </w:tr>
    </w:tbl>
    <w:p>
      <w:pPr>
        <w:pStyle w:val="Heading1"/>
        <w:spacing w:before="480" w:after="283"/>
        <w:rPr/>
      </w:pPr>
      <w:r>
        <w:rPr/>
        <w:t>Business Performance Indicators</w:t>
      </w:r>
    </w:p>
    <w:p>
      <w:pPr>
        <w:pStyle w:val="BodyText"/>
        <w:rPr/>
      </w:pPr>
      <w:r>
        <w:rPr/>
        <w:t>2024 Turnover:</w:t>
      </w:r>
    </w:p>
    <w:p>
      <w:pPr>
        <w:pStyle w:val="BodyText"/>
        <w:numPr>
          <w:ilvl w:val="0"/>
          <w:numId w:val="14"/>
        </w:numPr>
        <w:tabs>
          <w:tab w:val="clear" w:pos="720"/>
          <w:tab w:val="left" w:pos="0" w:leader="none"/>
        </w:tabs>
        <w:ind w:hanging="283" w:left="709"/>
        <w:rPr/>
      </w:pPr>
      <w:r>
        <w:rPr/>
        <w:t>£2,670,989</w:t>
      </w:r>
    </w:p>
    <w:p>
      <w:pPr>
        <w:pStyle w:val="BodyText"/>
        <w:rPr/>
      </w:pPr>
      <w:r>
        <w:rPr/>
        <w:t>2025 Turnover:</w:t>
      </w:r>
    </w:p>
    <w:p>
      <w:pPr>
        <w:pStyle w:val="BodyText"/>
        <w:numPr>
          <w:ilvl w:val="0"/>
          <w:numId w:val="15"/>
        </w:numPr>
        <w:tabs>
          <w:tab w:val="clear" w:pos="720"/>
          <w:tab w:val="left" w:pos="0" w:leader="none"/>
        </w:tabs>
        <w:ind w:hanging="283" w:left="709"/>
        <w:rPr/>
      </w:pPr>
      <w:r>
        <w:rPr/>
        <w:t>£3,035,705</w:t>
      </w:r>
    </w:p>
    <w:p>
      <w:pPr>
        <w:pStyle w:val="BodyText"/>
        <w:rPr/>
      </w:pPr>
      <w:r>
        <w:rPr/>
        <w:t>2025 Workforce:</w:t>
      </w:r>
    </w:p>
    <w:p>
      <w:pPr>
        <w:pStyle w:val="BodyText"/>
        <w:numPr>
          <w:ilvl w:val="0"/>
          <w:numId w:val="16"/>
        </w:numPr>
        <w:tabs>
          <w:tab w:val="clear" w:pos="720"/>
          <w:tab w:val="left" w:pos="0" w:leader="none"/>
        </w:tabs>
        <w:ind w:hanging="283" w:left="709"/>
        <w:rPr/>
      </w:pPr>
      <w:r>
        <w:rPr/>
        <w:t>18 employees (full-time and part-time)</w:t>
      </w:r>
    </w:p>
    <w:p>
      <w:pPr>
        <w:pStyle w:val="BodyText"/>
        <w:rPr/>
      </w:pPr>
      <w:r>
        <w:rPr/>
        <w:t>The company achieved turnover growth whilst maintaining a low direct emissions profile and continuing implementation of sustainability initiatives.</w:t>
      </w:r>
    </w:p>
    <w:p>
      <w:pPr>
        <w:pStyle w:val="Heading1"/>
        <w:spacing w:before="480" w:after="283"/>
        <w:rPr/>
      </w:pPr>
      <w:r>
        <w:rPr/>
        <w:t>Carbon Reduction Commitments</w:t>
      </w:r>
    </w:p>
    <w:p>
      <w:pPr>
        <w:pStyle w:val="BodyText"/>
        <w:rPr/>
      </w:pPr>
      <w:r>
        <w:rPr/>
        <w:t>Viamed Ltd remains committed to:</w:t>
      </w:r>
    </w:p>
    <w:p>
      <w:pPr>
        <w:pStyle w:val="BodyText"/>
        <w:numPr>
          <w:ilvl w:val="0"/>
          <w:numId w:val="17"/>
        </w:numPr>
        <w:tabs>
          <w:tab w:val="clear" w:pos="720"/>
          <w:tab w:val="left" w:pos="0" w:leader="none"/>
        </w:tabs>
        <w:ind w:hanging="283" w:left="709"/>
        <w:rPr/>
      </w:pPr>
      <w:r>
        <w:rPr/>
        <w:t>Net Zero Scope 1 and Scope 2 emissions by 2030.</w:t>
      </w:r>
    </w:p>
    <w:p>
      <w:pPr>
        <w:pStyle w:val="BodyText"/>
        <w:numPr>
          <w:ilvl w:val="0"/>
          <w:numId w:val="17"/>
        </w:numPr>
        <w:tabs>
          <w:tab w:val="clear" w:pos="720"/>
          <w:tab w:val="left" w:pos="0" w:leader="none"/>
        </w:tabs>
        <w:ind w:hanging="283" w:left="709"/>
        <w:rPr/>
      </w:pPr>
      <w:r>
        <w:rPr/>
        <w:t>Net Zero Scope 3 emissions by 2050.</w:t>
      </w:r>
    </w:p>
    <w:p>
      <w:pPr>
        <w:pStyle w:val="BodyText"/>
        <w:numPr>
          <w:ilvl w:val="0"/>
          <w:numId w:val="17"/>
        </w:numPr>
        <w:tabs>
          <w:tab w:val="clear" w:pos="720"/>
          <w:tab w:val="left" w:pos="0" w:leader="none"/>
        </w:tabs>
        <w:ind w:hanging="283" w:left="709"/>
        <w:rPr/>
      </w:pPr>
      <w:r>
        <w:rPr/>
        <w:t>Transition to 100% renewable electricity during 2026.</w:t>
      </w:r>
    </w:p>
    <w:p>
      <w:pPr>
        <w:pStyle w:val="BodyText"/>
        <w:numPr>
          <w:ilvl w:val="0"/>
          <w:numId w:val="17"/>
        </w:numPr>
        <w:tabs>
          <w:tab w:val="clear" w:pos="720"/>
          <w:tab w:val="left" w:pos="0" w:leader="none"/>
        </w:tabs>
        <w:ind w:hanging="283" w:left="709"/>
        <w:rPr/>
      </w:pPr>
      <w:r>
        <w:rPr/>
        <w:t>Increased supplier sustainability engagement.</w:t>
      </w:r>
    </w:p>
    <w:p>
      <w:pPr>
        <w:pStyle w:val="BodyText"/>
        <w:numPr>
          <w:ilvl w:val="0"/>
          <w:numId w:val="17"/>
        </w:numPr>
        <w:tabs>
          <w:tab w:val="clear" w:pos="720"/>
          <w:tab w:val="left" w:pos="0" w:leader="none"/>
        </w:tabs>
        <w:ind w:hanging="283" w:left="709"/>
        <w:rPr/>
      </w:pPr>
      <w:r>
        <w:rPr/>
        <w:t>Ongoing reduction of waste and operational environmental impacts.</w:t>
      </w:r>
    </w:p>
    <w:p>
      <w:pPr>
        <w:pStyle w:val="BodyText"/>
        <w:numPr>
          <w:ilvl w:val="0"/>
          <w:numId w:val="17"/>
        </w:numPr>
        <w:tabs>
          <w:tab w:val="clear" w:pos="720"/>
          <w:tab w:val="left" w:pos="0" w:leader="none"/>
        </w:tabs>
        <w:ind w:hanging="283" w:left="709"/>
        <w:rPr/>
      </w:pPr>
      <w:r>
        <w:rPr/>
        <w:t>Annual review and reporting of carbon emissions.</w:t>
      </w:r>
    </w:p>
    <w:p>
      <w:pPr>
        <w:pStyle w:val="Heading1"/>
        <w:spacing w:before="480" w:after="283"/>
        <w:rPr/>
      </w:pPr>
      <w:r>
        <w:rPr/>
        <w:t>Governance</w:t>
      </w:r>
    </w:p>
    <w:p>
      <w:pPr>
        <w:pStyle w:val="BodyText"/>
        <w:rPr/>
      </w:pPr>
      <w:r>
        <w:rPr/>
        <w:t>Responsibility for sustainability, carbon reduction and environmental performance rests with company directors and senior management. Progress against carbon reduction objectives, sustainability initiatives, supplier engagement activities and NHS Evergreen requirements is reviewed periodically as part of the company's management and strategic planning processes.</w:t>
      </w:r>
    </w:p>
    <w:p>
      <w:pPr>
        <w:pStyle w:val="Heading1"/>
        <w:spacing w:before="480" w:after="283"/>
        <w:rPr/>
      </w:pPr>
      <w:r>
        <w:rPr/>
        <w:t>Conclusion</w:t>
      </w:r>
    </w:p>
    <w:p>
      <w:pPr>
        <w:pStyle w:val="BodyText"/>
        <w:rPr/>
      </w:pPr>
      <w:r>
        <w:rPr/>
        <w:t>Viamed Ltd continues to develop its sustainability programme through responsible procurement, carbon reduction initiatives, supply chain engagement and operational improvements.</w:t>
      </w:r>
    </w:p>
    <w:p>
      <w:pPr>
        <w:pStyle w:val="BodyText"/>
        <w:rPr/>
      </w:pPr>
      <w:r>
        <w:rPr/>
        <w:t>The company remains committed to reducing its environmental impact and supporting NHS and wider public sector sustainability objectives through continuous improvement and transparent reporting.</w:t>
      </w:r>
    </w:p>
    <w:p>
      <w:pPr>
        <w:pStyle w:val="BodyText"/>
        <w:spacing w:before="0" w:after="120"/>
        <w:jc w:val="center"/>
        <w:rPr/>
      </w:pPr>
      <w:r>
        <w:rPr/>
      </w:r>
    </w:p>
    <w:sectPr>
      <w:type w:val="nextPage"/>
      <w:pgSz w:w="12240" w:h="15840"/>
      <w:pgMar w:left="1800" w:right="180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Caption1">
    <w:name w:val="caption1"/>
    <w:basedOn w:val="Normal"/>
    <w:next w:val="Normal"/>
    <w:uiPriority w:val="35"/>
    <w:semiHidden/>
    <w:unhideWhenUsed/>
    <w:qFormat/>
    <w:rsid w:val="00fc693f"/>
    <w:pPr>
      <w:spacing w:lineRule="auto" w:line="240"/>
    </w:pPr>
    <w:rPr>
      <w:b/>
      <w:bCs/>
      <w:color w:themeColor="accent1" w:val="4F81BD"/>
      <w:sz w:val="18"/>
      <w:szCs w:val="18"/>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LibreOffice/7.6.2.1$Windows_X86_64 LibreOffice_project/56f7684011345957bbf33a7ee678afaf4d2ba333</Application>
  <AppVersion>15.0000</AppVersion>
  <Pages>5</Pages>
  <Words>913</Words>
  <Characters>5935</Characters>
  <CharactersWithSpaces>6694</CharactersWithSpaces>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2026-06-24T12:47:34Z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