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00" w:after="40"/>
        <w:jc w:val="center"/>
        <w:rPr/>
      </w:pPr>
      <w:r>
        <w:rPr>
          <w:rFonts w:cs="Calibri" w:ascii="Calibri" w:hAnsi="Calibri"/>
          <w:sz w:val="44"/>
          <w:szCs w:val="44"/>
        </w:rPr>
        <w:t>Viamed Group of Companies</w:t>
      </w:r>
    </w:p>
    <w:p>
      <w:pPr>
        <w:pStyle w:val="Heading1"/>
        <w:rPr/>
      </w:pPr>
      <w:r>
        <w:rPr/>
        <w:t>Anti-Bribery, Fraud and Corruption Policy</w:t>
      </w:r>
    </w:p>
    <w:p>
      <w:pPr>
        <w:pStyle w:val="Heading2"/>
        <w:spacing w:before="160" w:after="283"/>
        <w:rPr/>
      </w:pPr>
      <w:r>
        <w:rPr/>
        <w:t>1. Policy Statement</w:t>
      </w:r>
    </w:p>
    <w:p>
      <w:pPr>
        <w:pStyle w:val="Heading3"/>
        <w:spacing w:before="80" w:after="283"/>
        <w:rPr/>
      </w:pPr>
      <w:r>
        <w:rPr/>
        <w:t>1.1</w:t>
      </w:r>
    </w:p>
    <w:p>
      <w:pPr>
        <w:pStyle w:val="BodyText"/>
        <w:rPr/>
      </w:pPr>
      <w:r>
        <w:rPr/>
        <w:t>Viamed Group of Companies is committed to conducting all business activities in an ethical, honest, transparent and professional manner. The company operates a zero-tolerance approach to bribery, fraud, corruption and other forms of economic crime.</w:t>
      </w:r>
    </w:p>
    <w:p>
      <w:pPr>
        <w:pStyle w:val="Heading3"/>
        <w:spacing w:before="80" w:after="283"/>
        <w:rPr/>
      </w:pPr>
      <w:r>
        <w:rPr/>
        <w:t>1.2</w:t>
      </w:r>
    </w:p>
    <w:p>
      <w:pPr>
        <w:pStyle w:val="BodyText"/>
        <w:rPr/>
      </w:pPr>
      <w:r>
        <w:rPr/>
        <w:t>This policy sets out the responsibilities of Viamed Group of Companies and all persons working for or on behalf of the company in relation to preventing, detecting and reporting bribery, fraud, corruption and dishonest activity.</w:t>
      </w:r>
    </w:p>
    <w:p>
      <w:pPr>
        <w:pStyle w:val="Heading3"/>
        <w:spacing w:before="80" w:after="283"/>
        <w:rPr/>
      </w:pPr>
      <w:r>
        <w:rPr/>
        <w:t>1.3</w:t>
      </w:r>
    </w:p>
    <w:p>
      <w:pPr>
        <w:pStyle w:val="BodyText"/>
        <w:rPr/>
      </w:pPr>
      <w:r>
        <w:rPr/>
        <w:t>Viamed Group of Companies is committed to implementing and maintaining effective systems, procedures and internal controls designed to prevent bribery, fraud, corruption, false accounting, financial misconduct and other unlawful activities.</w:t>
      </w:r>
    </w:p>
    <w:p>
      <w:pPr>
        <w:pStyle w:val="Heading3"/>
        <w:spacing w:before="80" w:after="283"/>
        <w:rPr/>
      </w:pPr>
      <w:r>
        <w:rPr/>
        <w:t>1.4</w:t>
      </w:r>
    </w:p>
    <w:p>
      <w:pPr>
        <w:pStyle w:val="BodyText"/>
        <w:rPr/>
      </w:pPr>
      <w:r>
        <w:rPr/>
        <w:t>The company will comply with all applicable laws and regulations relating to anti-bribery, fraud prevention and economic crime, including but not limited to:</w:t>
      </w:r>
    </w:p>
    <w:p>
      <w:pPr>
        <w:pStyle w:val="BodyText"/>
        <w:numPr>
          <w:ilvl w:val="0"/>
          <w:numId w:val="1"/>
        </w:numPr>
        <w:tabs>
          <w:tab w:val="clear" w:pos="720"/>
          <w:tab w:val="left" w:pos="0" w:leader="none"/>
        </w:tabs>
        <w:spacing w:before="0" w:after="0"/>
        <w:ind w:hanging="283" w:left="709"/>
        <w:rPr/>
      </w:pPr>
      <w:r>
        <w:rPr/>
        <w:t xml:space="preserve">The Bribery Act 2010 </w:t>
      </w:r>
    </w:p>
    <w:p>
      <w:pPr>
        <w:pStyle w:val="BodyText"/>
        <w:numPr>
          <w:ilvl w:val="0"/>
          <w:numId w:val="1"/>
        </w:numPr>
        <w:tabs>
          <w:tab w:val="clear" w:pos="720"/>
          <w:tab w:val="left" w:pos="0" w:leader="none"/>
        </w:tabs>
        <w:spacing w:before="0" w:after="0"/>
        <w:ind w:hanging="283" w:left="709"/>
        <w:rPr/>
      </w:pPr>
      <w:r>
        <w:rPr/>
        <w:t xml:space="preserve">The Fraud Act 2006 </w:t>
      </w:r>
    </w:p>
    <w:p>
      <w:pPr>
        <w:pStyle w:val="BodyText"/>
        <w:numPr>
          <w:ilvl w:val="0"/>
          <w:numId w:val="1"/>
        </w:numPr>
        <w:tabs>
          <w:tab w:val="clear" w:pos="720"/>
          <w:tab w:val="left" w:pos="0" w:leader="none"/>
        </w:tabs>
        <w:spacing w:before="0" w:after="0"/>
        <w:ind w:hanging="283" w:left="709"/>
        <w:rPr/>
      </w:pPr>
      <w:r>
        <w:rPr/>
        <w:t xml:space="preserve">The Economic Crime and Corporate Transparency Act 2023 (ECCTA) </w:t>
      </w:r>
    </w:p>
    <w:p>
      <w:pPr>
        <w:pStyle w:val="BodyText"/>
        <w:numPr>
          <w:ilvl w:val="0"/>
          <w:numId w:val="1"/>
        </w:numPr>
        <w:tabs>
          <w:tab w:val="clear" w:pos="720"/>
          <w:tab w:val="left" w:pos="0" w:leader="none"/>
        </w:tabs>
        <w:spacing w:before="0" w:after="0"/>
        <w:ind w:hanging="283" w:left="709"/>
        <w:rPr/>
      </w:pPr>
      <w:r>
        <w:rPr/>
        <w:t xml:space="preserve">Applicable NHS anti-fraud requirements </w:t>
      </w:r>
    </w:p>
    <w:p>
      <w:pPr>
        <w:pStyle w:val="BodyText"/>
        <w:numPr>
          <w:ilvl w:val="0"/>
          <w:numId w:val="1"/>
        </w:numPr>
        <w:tabs>
          <w:tab w:val="clear" w:pos="720"/>
          <w:tab w:val="left" w:pos="0" w:leader="none"/>
        </w:tabs>
        <w:ind w:hanging="283" w:left="709"/>
        <w:rPr/>
      </w:pPr>
      <w:r>
        <w:rPr/>
        <w:t xml:space="preserve">Relevant data protection and financial reporting legislation </w:t>
      </w:r>
    </w:p>
    <w:p>
      <w:pPr>
        <w:pStyle w:val="Heading3"/>
        <w:spacing w:before="80" w:after="283"/>
        <w:rPr/>
      </w:pPr>
      <w:r>
        <w:rPr/>
        <w:t>1.5</w:t>
      </w:r>
    </w:p>
    <w:p>
      <w:pPr>
        <w:pStyle w:val="BodyText"/>
        <w:rPr/>
      </w:pPr>
      <w:r>
        <w:rPr/>
        <w:t>Viamed Group of Companies recognises that bribery, fraud and corruption can result in:</w:t>
      </w:r>
    </w:p>
    <w:p>
      <w:pPr>
        <w:pStyle w:val="BodyText"/>
        <w:numPr>
          <w:ilvl w:val="0"/>
          <w:numId w:val="2"/>
        </w:numPr>
        <w:tabs>
          <w:tab w:val="clear" w:pos="720"/>
          <w:tab w:val="left" w:pos="0" w:leader="none"/>
        </w:tabs>
        <w:spacing w:before="0" w:after="0"/>
        <w:ind w:hanging="283" w:left="709"/>
        <w:rPr/>
      </w:pPr>
      <w:r>
        <w:rPr/>
        <w:t xml:space="preserve">Criminal prosecution </w:t>
      </w:r>
    </w:p>
    <w:p>
      <w:pPr>
        <w:pStyle w:val="BodyText"/>
        <w:numPr>
          <w:ilvl w:val="0"/>
          <w:numId w:val="2"/>
        </w:numPr>
        <w:tabs>
          <w:tab w:val="clear" w:pos="720"/>
          <w:tab w:val="left" w:pos="0" w:leader="none"/>
        </w:tabs>
        <w:spacing w:before="0" w:after="0"/>
        <w:ind w:hanging="283" w:left="709"/>
        <w:rPr/>
      </w:pPr>
      <w:r>
        <w:rPr/>
        <w:t xml:space="preserve">Unlimited financial penalties </w:t>
      </w:r>
    </w:p>
    <w:p>
      <w:pPr>
        <w:pStyle w:val="BodyText"/>
        <w:numPr>
          <w:ilvl w:val="0"/>
          <w:numId w:val="2"/>
        </w:numPr>
        <w:tabs>
          <w:tab w:val="clear" w:pos="720"/>
          <w:tab w:val="left" w:pos="0" w:leader="none"/>
        </w:tabs>
        <w:spacing w:before="0" w:after="0"/>
        <w:ind w:hanging="283" w:left="709"/>
        <w:rPr/>
      </w:pPr>
      <w:r>
        <w:rPr/>
        <w:t xml:space="preserve">Exclusion from public procurement and NHS contracts </w:t>
      </w:r>
    </w:p>
    <w:p>
      <w:pPr>
        <w:pStyle w:val="BodyText"/>
        <w:numPr>
          <w:ilvl w:val="0"/>
          <w:numId w:val="2"/>
        </w:numPr>
        <w:tabs>
          <w:tab w:val="clear" w:pos="720"/>
          <w:tab w:val="left" w:pos="0" w:leader="none"/>
        </w:tabs>
        <w:spacing w:before="0" w:after="0"/>
        <w:ind w:hanging="283" w:left="709"/>
        <w:rPr/>
      </w:pPr>
      <w:r>
        <w:rPr/>
        <w:t xml:space="preserve">Reputational damage </w:t>
      </w:r>
    </w:p>
    <w:p>
      <w:pPr>
        <w:pStyle w:val="BodyText"/>
        <w:numPr>
          <w:ilvl w:val="0"/>
          <w:numId w:val="2"/>
        </w:numPr>
        <w:tabs>
          <w:tab w:val="clear" w:pos="720"/>
          <w:tab w:val="left" w:pos="0" w:leader="none"/>
        </w:tabs>
        <w:spacing w:before="0" w:after="0"/>
        <w:ind w:hanging="283" w:left="709"/>
        <w:rPr/>
      </w:pPr>
      <w:r>
        <w:rPr/>
        <w:t xml:space="preserve">Loss of customer confidence </w:t>
      </w:r>
    </w:p>
    <w:p>
      <w:pPr>
        <w:pStyle w:val="BodyText"/>
        <w:numPr>
          <w:ilvl w:val="0"/>
          <w:numId w:val="2"/>
        </w:numPr>
        <w:tabs>
          <w:tab w:val="clear" w:pos="720"/>
          <w:tab w:val="left" w:pos="0" w:leader="none"/>
        </w:tabs>
        <w:ind w:hanging="283" w:left="709"/>
        <w:rPr/>
      </w:pPr>
      <w:r>
        <w:rPr/>
        <w:t xml:space="preserve">Regulatory enforcement action </w:t>
      </w:r>
    </w:p>
    <w:p>
      <w:pPr>
        <w:pStyle w:val="BodyText"/>
        <w:rPr/>
      </w:pPr>
      <w:r>
        <w:rPr/>
        <w:t>The company therefore takes its legal and ethical responsibilities seriously.</w:t>
      </w:r>
    </w:p>
    <w:p>
      <w:pPr>
        <w:pStyle w:val="Heading3"/>
        <w:spacing w:before="80" w:after="283"/>
        <w:rPr/>
      </w:pPr>
      <w:r>
        <w:rPr/>
        <w:t>1.6</w:t>
      </w:r>
    </w:p>
    <w:p>
      <w:pPr>
        <w:pStyle w:val="BodyText"/>
        <w:rPr/>
      </w:pPr>
      <w:r>
        <w:rPr/>
        <w:t>This policy applies to all employees, directors, managers, contractors, consultants, temporary staff, agency workers, third parties, suppliers, intermediaries and any person acting on behalf of Viamed Group of Companies.</w:t>
      </w:r>
    </w:p>
    <w:p>
      <w:pPr>
        <w:pStyle w:val="HorizontalLine"/>
        <w:rPr/>
      </w:pPr>
      <w:r>
        <w:rPr/>
      </w:r>
    </w:p>
    <w:p>
      <w:pPr>
        <w:pStyle w:val="Heading1"/>
        <w:rPr/>
      </w:pPr>
      <w:r>
        <w:rPr/>
        <w:t>2. Commitment to Fraud Prevention</w:t>
      </w:r>
    </w:p>
    <w:p>
      <w:pPr>
        <w:pStyle w:val="Heading3"/>
        <w:spacing w:before="80" w:after="283"/>
        <w:rPr/>
      </w:pPr>
      <w:r>
        <w:rPr/>
        <w:t>2.1</w:t>
      </w:r>
    </w:p>
    <w:p>
      <w:pPr>
        <w:pStyle w:val="BodyText"/>
        <w:rPr/>
      </w:pPr>
      <w:r>
        <w:rPr/>
        <w:t>Viamed Group of Companies is committed to maintaining reasonable and proportionate fraud prevention procedures in accordance with the Economic Crime and Corporate Transparency Act 2023.</w:t>
      </w:r>
    </w:p>
    <w:p>
      <w:pPr>
        <w:pStyle w:val="Heading3"/>
        <w:spacing w:before="80" w:after="283"/>
        <w:rPr/>
      </w:pPr>
      <w:r>
        <w:rPr/>
        <w:t>2.2</w:t>
      </w:r>
    </w:p>
    <w:p>
      <w:pPr>
        <w:pStyle w:val="BodyText"/>
        <w:rPr/>
      </w:pPr>
      <w:r>
        <w:rPr/>
        <w:t>The company will:</w:t>
      </w:r>
    </w:p>
    <w:p>
      <w:pPr>
        <w:pStyle w:val="BodyText"/>
        <w:numPr>
          <w:ilvl w:val="0"/>
          <w:numId w:val="3"/>
        </w:numPr>
        <w:tabs>
          <w:tab w:val="clear" w:pos="720"/>
          <w:tab w:val="left" w:pos="0" w:leader="none"/>
        </w:tabs>
        <w:spacing w:before="0" w:after="0"/>
        <w:ind w:hanging="283" w:left="709"/>
        <w:rPr/>
      </w:pPr>
      <w:r>
        <w:rPr/>
        <w:t xml:space="preserve">Assess fraud and corruption risks within its operations </w:t>
      </w:r>
    </w:p>
    <w:p>
      <w:pPr>
        <w:pStyle w:val="BodyText"/>
        <w:numPr>
          <w:ilvl w:val="0"/>
          <w:numId w:val="3"/>
        </w:numPr>
        <w:tabs>
          <w:tab w:val="clear" w:pos="720"/>
          <w:tab w:val="left" w:pos="0" w:leader="none"/>
        </w:tabs>
        <w:spacing w:before="0" w:after="0"/>
        <w:ind w:hanging="283" w:left="709"/>
        <w:rPr/>
      </w:pPr>
      <w:r>
        <w:rPr/>
        <w:t xml:space="preserve">Maintain appropriate financial and operational controls </w:t>
      </w:r>
    </w:p>
    <w:p>
      <w:pPr>
        <w:pStyle w:val="BodyText"/>
        <w:numPr>
          <w:ilvl w:val="0"/>
          <w:numId w:val="3"/>
        </w:numPr>
        <w:tabs>
          <w:tab w:val="clear" w:pos="720"/>
          <w:tab w:val="left" w:pos="0" w:leader="none"/>
        </w:tabs>
        <w:spacing w:before="0" w:after="0"/>
        <w:ind w:hanging="283" w:left="709"/>
        <w:rPr/>
      </w:pPr>
      <w:r>
        <w:rPr/>
        <w:t xml:space="preserve">Monitor high-risk business activities </w:t>
      </w:r>
    </w:p>
    <w:p>
      <w:pPr>
        <w:pStyle w:val="BodyText"/>
        <w:numPr>
          <w:ilvl w:val="0"/>
          <w:numId w:val="3"/>
        </w:numPr>
        <w:tabs>
          <w:tab w:val="clear" w:pos="720"/>
          <w:tab w:val="left" w:pos="0" w:leader="none"/>
        </w:tabs>
        <w:spacing w:before="0" w:after="0"/>
        <w:ind w:hanging="283" w:left="709"/>
        <w:rPr/>
      </w:pPr>
      <w:r>
        <w:rPr/>
        <w:t xml:space="preserve">Promote an open reporting culture </w:t>
      </w:r>
    </w:p>
    <w:p>
      <w:pPr>
        <w:pStyle w:val="BodyText"/>
        <w:numPr>
          <w:ilvl w:val="0"/>
          <w:numId w:val="3"/>
        </w:numPr>
        <w:tabs>
          <w:tab w:val="clear" w:pos="720"/>
          <w:tab w:val="left" w:pos="0" w:leader="none"/>
        </w:tabs>
        <w:spacing w:before="0" w:after="0"/>
        <w:ind w:hanging="283" w:left="709"/>
        <w:rPr/>
      </w:pPr>
      <w:r>
        <w:rPr/>
        <w:t xml:space="preserve">Investigate concerns appropriately </w:t>
      </w:r>
    </w:p>
    <w:p>
      <w:pPr>
        <w:pStyle w:val="BodyText"/>
        <w:numPr>
          <w:ilvl w:val="0"/>
          <w:numId w:val="3"/>
        </w:numPr>
        <w:tabs>
          <w:tab w:val="clear" w:pos="720"/>
          <w:tab w:val="left" w:pos="0" w:leader="none"/>
        </w:tabs>
        <w:spacing w:before="0" w:after="0"/>
        <w:ind w:hanging="283" w:left="709"/>
        <w:rPr/>
      </w:pPr>
      <w:r>
        <w:rPr/>
        <w:t xml:space="preserve">Provide relevant training and awareness </w:t>
      </w:r>
    </w:p>
    <w:p>
      <w:pPr>
        <w:pStyle w:val="BodyText"/>
        <w:numPr>
          <w:ilvl w:val="0"/>
          <w:numId w:val="3"/>
        </w:numPr>
        <w:tabs>
          <w:tab w:val="clear" w:pos="720"/>
          <w:tab w:val="left" w:pos="0" w:leader="none"/>
        </w:tabs>
        <w:spacing w:before="0" w:after="0"/>
        <w:ind w:hanging="283" w:left="709"/>
        <w:rPr/>
      </w:pPr>
      <w:r>
        <w:rPr/>
        <w:t xml:space="preserve">Maintain accurate records and audit trails </w:t>
      </w:r>
    </w:p>
    <w:p>
      <w:pPr>
        <w:pStyle w:val="BodyText"/>
        <w:numPr>
          <w:ilvl w:val="0"/>
          <w:numId w:val="3"/>
        </w:numPr>
        <w:tabs>
          <w:tab w:val="clear" w:pos="720"/>
          <w:tab w:val="left" w:pos="0" w:leader="none"/>
        </w:tabs>
        <w:ind w:hanging="283" w:left="709"/>
        <w:rPr/>
      </w:pPr>
      <w:r>
        <w:rPr/>
        <w:t xml:space="preserve">Review and improve procedures where necessary </w:t>
      </w:r>
    </w:p>
    <w:p>
      <w:pPr>
        <w:pStyle w:val="Heading3"/>
        <w:spacing w:before="80" w:after="283"/>
        <w:rPr/>
      </w:pPr>
      <w:r>
        <w:rPr/>
        <w:t>2.3</w:t>
      </w:r>
    </w:p>
    <w:p>
      <w:pPr>
        <w:pStyle w:val="BodyText"/>
        <w:rPr/>
      </w:pPr>
      <w:r>
        <w:rPr/>
        <w:t>Fraud prevention controls may include, but are not limited to:</w:t>
      </w:r>
    </w:p>
    <w:p>
      <w:pPr>
        <w:pStyle w:val="BodyText"/>
        <w:numPr>
          <w:ilvl w:val="0"/>
          <w:numId w:val="4"/>
        </w:numPr>
        <w:tabs>
          <w:tab w:val="clear" w:pos="720"/>
          <w:tab w:val="left" w:pos="0" w:leader="none"/>
        </w:tabs>
        <w:spacing w:before="0" w:after="0"/>
        <w:ind w:hanging="283" w:left="709"/>
        <w:rPr/>
      </w:pPr>
      <w:r>
        <w:rPr/>
        <w:t xml:space="preserve">Separation of duties </w:t>
      </w:r>
    </w:p>
    <w:p>
      <w:pPr>
        <w:pStyle w:val="BodyText"/>
        <w:numPr>
          <w:ilvl w:val="0"/>
          <w:numId w:val="4"/>
        </w:numPr>
        <w:tabs>
          <w:tab w:val="clear" w:pos="720"/>
          <w:tab w:val="left" w:pos="0" w:leader="none"/>
        </w:tabs>
        <w:spacing w:before="0" w:after="0"/>
        <w:ind w:hanging="283" w:left="709"/>
        <w:rPr/>
      </w:pPr>
      <w:r>
        <w:rPr/>
        <w:t xml:space="preserve">Approval and authorisation controls </w:t>
      </w:r>
    </w:p>
    <w:p>
      <w:pPr>
        <w:pStyle w:val="BodyText"/>
        <w:numPr>
          <w:ilvl w:val="0"/>
          <w:numId w:val="4"/>
        </w:numPr>
        <w:tabs>
          <w:tab w:val="clear" w:pos="720"/>
          <w:tab w:val="left" w:pos="0" w:leader="none"/>
        </w:tabs>
        <w:spacing w:before="0" w:after="0"/>
        <w:ind w:hanging="283" w:left="709"/>
        <w:rPr/>
      </w:pPr>
      <w:r>
        <w:rPr/>
        <w:t xml:space="preserve">Purchase order verification </w:t>
      </w:r>
    </w:p>
    <w:p>
      <w:pPr>
        <w:pStyle w:val="BodyText"/>
        <w:numPr>
          <w:ilvl w:val="0"/>
          <w:numId w:val="4"/>
        </w:numPr>
        <w:tabs>
          <w:tab w:val="clear" w:pos="720"/>
          <w:tab w:val="left" w:pos="0" w:leader="none"/>
        </w:tabs>
        <w:spacing w:before="0" w:after="0"/>
        <w:ind w:hanging="283" w:left="709"/>
        <w:rPr/>
      </w:pPr>
      <w:r>
        <w:rPr/>
        <w:t xml:space="preserve">Supplier review processes </w:t>
      </w:r>
    </w:p>
    <w:p>
      <w:pPr>
        <w:pStyle w:val="BodyText"/>
        <w:numPr>
          <w:ilvl w:val="0"/>
          <w:numId w:val="4"/>
        </w:numPr>
        <w:tabs>
          <w:tab w:val="clear" w:pos="720"/>
          <w:tab w:val="left" w:pos="0" w:leader="none"/>
        </w:tabs>
        <w:spacing w:before="0" w:after="0"/>
        <w:ind w:hanging="283" w:left="709"/>
        <w:rPr/>
      </w:pPr>
      <w:r>
        <w:rPr/>
        <w:t xml:space="preserve">Invoice and payment validation </w:t>
      </w:r>
    </w:p>
    <w:p>
      <w:pPr>
        <w:pStyle w:val="BodyText"/>
        <w:numPr>
          <w:ilvl w:val="0"/>
          <w:numId w:val="4"/>
        </w:numPr>
        <w:tabs>
          <w:tab w:val="clear" w:pos="720"/>
          <w:tab w:val="left" w:pos="0" w:leader="none"/>
        </w:tabs>
        <w:spacing w:before="0" w:after="0"/>
        <w:ind w:hanging="283" w:left="709"/>
        <w:rPr/>
      </w:pPr>
      <w:r>
        <w:rPr/>
        <w:t xml:space="preserve">Stock and asset controls </w:t>
      </w:r>
    </w:p>
    <w:p>
      <w:pPr>
        <w:pStyle w:val="BodyText"/>
        <w:numPr>
          <w:ilvl w:val="0"/>
          <w:numId w:val="4"/>
        </w:numPr>
        <w:tabs>
          <w:tab w:val="clear" w:pos="720"/>
          <w:tab w:val="left" w:pos="0" w:leader="none"/>
        </w:tabs>
        <w:spacing w:before="0" w:after="0"/>
        <w:ind w:hanging="283" w:left="709"/>
        <w:rPr/>
      </w:pPr>
      <w:r>
        <w:rPr/>
        <w:t xml:space="preserve">Audit and management review activities </w:t>
      </w:r>
    </w:p>
    <w:p>
      <w:pPr>
        <w:pStyle w:val="BodyText"/>
        <w:numPr>
          <w:ilvl w:val="0"/>
          <w:numId w:val="4"/>
        </w:numPr>
        <w:tabs>
          <w:tab w:val="clear" w:pos="720"/>
          <w:tab w:val="left" w:pos="0" w:leader="none"/>
        </w:tabs>
        <w:spacing w:before="0" w:after="0"/>
        <w:ind w:hanging="283" w:left="709"/>
        <w:rPr/>
      </w:pPr>
      <w:r>
        <w:rPr/>
        <w:t xml:space="preserve">Access controls to systems and data </w:t>
      </w:r>
    </w:p>
    <w:p>
      <w:pPr>
        <w:pStyle w:val="BodyText"/>
        <w:numPr>
          <w:ilvl w:val="0"/>
          <w:numId w:val="4"/>
        </w:numPr>
        <w:tabs>
          <w:tab w:val="clear" w:pos="720"/>
          <w:tab w:val="left" w:pos="0" w:leader="none"/>
        </w:tabs>
        <w:ind w:hanging="283" w:left="709"/>
        <w:rPr/>
      </w:pPr>
      <w:r>
        <w:rPr/>
        <w:t xml:space="preserve">Monitoring of unusual transactions or activities </w:t>
      </w:r>
    </w:p>
    <w:p>
      <w:pPr>
        <w:pStyle w:val="HorizontalLine"/>
        <w:rPr/>
      </w:pPr>
      <w:r>
        <w:rPr/>
      </w:r>
    </w:p>
    <w:p>
      <w:pPr>
        <w:pStyle w:val="Heading1"/>
        <w:rPr/>
      </w:pPr>
      <w:r>
        <w:rPr/>
        <w:t>3. Definitions</w:t>
      </w:r>
    </w:p>
    <w:p>
      <w:pPr>
        <w:pStyle w:val="Heading3"/>
        <w:spacing w:before="80" w:after="283"/>
        <w:rPr/>
      </w:pPr>
      <w:r>
        <w:rPr/>
        <w:t>3.1 Bribery</w:t>
      </w:r>
    </w:p>
    <w:p>
      <w:pPr>
        <w:pStyle w:val="BodyText"/>
        <w:rPr/>
      </w:pPr>
      <w:r>
        <w:rPr/>
        <w:t>Bribery occurs when a person offers, gives, requests or accepts a financial or other advantage with the intention of improperly influencing a business decision or gaining an unfair advantage.</w:t>
      </w:r>
    </w:p>
    <w:p>
      <w:pPr>
        <w:pStyle w:val="Heading3"/>
        <w:spacing w:before="80" w:after="283"/>
        <w:rPr/>
      </w:pPr>
      <w:r>
        <w:rPr/>
        <w:t>3.2 Fraud</w:t>
      </w:r>
    </w:p>
    <w:p>
      <w:pPr>
        <w:pStyle w:val="BodyText"/>
        <w:rPr/>
      </w:pPr>
      <w:r>
        <w:rPr/>
        <w:t>Fraud includes any dishonest act intended to secure financial gain, operational advantage or cause loss to another party. This includes false representation, abuse of position, false accounting, invoice fraud, procurement fraud, cyber-enabled fraud and concealment of information.</w:t>
      </w:r>
    </w:p>
    <w:p>
      <w:pPr>
        <w:pStyle w:val="Heading3"/>
        <w:spacing w:before="80" w:after="283"/>
        <w:rPr/>
      </w:pPr>
      <w:r>
        <w:rPr/>
        <w:t>3.3 Corruption</w:t>
      </w:r>
    </w:p>
    <w:p>
      <w:pPr>
        <w:pStyle w:val="BodyText"/>
        <w:rPr/>
      </w:pPr>
      <w:r>
        <w:rPr/>
        <w:t>Corruption is the misuse of entrusted power or position for private gain or improper advantage.</w:t>
      </w:r>
    </w:p>
    <w:p>
      <w:pPr>
        <w:pStyle w:val="Heading3"/>
        <w:spacing w:before="80" w:after="283"/>
        <w:rPr/>
      </w:pPr>
      <w:r>
        <w:rPr/>
        <w:t>3.4 Facilitation Payments</w:t>
      </w:r>
    </w:p>
    <w:p>
      <w:pPr>
        <w:pStyle w:val="BodyText"/>
        <w:rPr/>
      </w:pPr>
      <w:r>
        <w:rPr/>
        <w:t>Facilitation payments are unofficial payments made to secure or speed up routine actions by officials or organisations. Such payments are prohibited.</w:t>
      </w:r>
    </w:p>
    <w:p>
      <w:pPr>
        <w:pStyle w:val="Heading3"/>
        <w:spacing w:before="80" w:after="283"/>
        <w:rPr/>
      </w:pPr>
      <w:r>
        <w:rPr/>
        <w:t>3.5 Third Party</w:t>
      </w:r>
    </w:p>
    <w:p>
      <w:pPr>
        <w:pStyle w:val="BodyText"/>
        <w:rPr/>
      </w:pPr>
      <w:r>
        <w:rPr/>
        <w:t>Any supplier, contractor, consultant, customer, intermediary, agent, distributor, service provider or partner organisation working with Viamed Group of Companies.</w:t>
      </w:r>
    </w:p>
    <w:p>
      <w:pPr>
        <w:pStyle w:val="HorizontalLine"/>
        <w:rPr/>
      </w:pPr>
      <w:r>
        <w:rPr/>
      </w:r>
    </w:p>
    <w:p>
      <w:pPr>
        <w:pStyle w:val="Heading1"/>
        <w:rPr/>
      </w:pPr>
      <w:r>
        <w:rPr/>
        <w:t>4. Gifts, Hospitality and Conflicts of Interest</w:t>
      </w:r>
    </w:p>
    <w:p>
      <w:pPr>
        <w:pStyle w:val="Heading3"/>
        <w:spacing w:before="80" w:after="283"/>
        <w:rPr/>
      </w:pPr>
      <w:r>
        <w:rPr/>
        <w:t>4.1</w:t>
      </w:r>
    </w:p>
    <w:p>
      <w:pPr>
        <w:pStyle w:val="BodyText"/>
        <w:rPr/>
      </w:pPr>
      <w:r>
        <w:rPr/>
        <w:t>Reasonable and proportionate hospitality and business gifts may be accepted or provided where:</w:t>
      </w:r>
    </w:p>
    <w:p>
      <w:pPr>
        <w:pStyle w:val="BodyText"/>
        <w:numPr>
          <w:ilvl w:val="0"/>
          <w:numId w:val="5"/>
        </w:numPr>
        <w:tabs>
          <w:tab w:val="clear" w:pos="720"/>
          <w:tab w:val="left" w:pos="0" w:leader="none"/>
        </w:tabs>
        <w:spacing w:before="0" w:after="0"/>
        <w:ind w:hanging="283" w:left="709"/>
        <w:rPr/>
      </w:pPr>
      <w:r>
        <w:rPr/>
        <w:t xml:space="preserve">They are lawful </w:t>
      </w:r>
    </w:p>
    <w:p>
      <w:pPr>
        <w:pStyle w:val="BodyText"/>
        <w:numPr>
          <w:ilvl w:val="0"/>
          <w:numId w:val="5"/>
        </w:numPr>
        <w:tabs>
          <w:tab w:val="clear" w:pos="720"/>
          <w:tab w:val="left" w:pos="0" w:leader="none"/>
        </w:tabs>
        <w:spacing w:before="0" w:after="0"/>
        <w:ind w:hanging="283" w:left="709"/>
        <w:rPr/>
      </w:pPr>
      <w:r>
        <w:rPr/>
        <w:t xml:space="preserve">They are openly declared </w:t>
      </w:r>
    </w:p>
    <w:p>
      <w:pPr>
        <w:pStyle w:val="BodyText"/>
        <w:numPr>
          <w:ilvl w:val="0"/>
          <w:numId w:val="5"/>
        </w:numPr>
        <w:tabs>
          <w:tab w:val="clear" w:pos="720"/>
          <w:tab w:val="left" w:pos="0" w:leader="none"/>
        </w:tabs>
        <w:spacing w:before="0" w:after="0"/>
        <w:ind w:hanging="283" w:left="709"/>
        <w:rPr/>
      </w:pPr>
      <w:r>
        <w:rPr/>
        <w:t xml:space="preserve">They are not intended to improperly influence a decision </w:t>
      </w:r>
    </w:p>
    <w:p>
      <w:pPr>
        <w:pStyle w:val="BodyText"/>
        <w:numPr>
          <w:ilvl w:val="0"/>
          <w:numId w:val="5"/>
        </w:numPr>
        <w:tabs>
          <w:tab w:val="clear" w:pos="720"/>
          <w:tab w:val="left" w:pos="0" w:leader="none"/>
        </w:tabs>
        <w:spacing w:before="0" w:after="0"/>
        <w:ind w:hanging="283" w:left="709"/>
        <w:rPr/>
      </w:pPr>
      <w:r>
        <w:rPr/>
        <w:t xml:space="preserve">They are proportionate and reasonable </w:t>
      </w:r>
    </w:p>
    <w:p>
      <w:pPr>
        <w:pStyle w:val="BodyText"/>
        <w:numPr>
          <w:ilvl w:val="0"/>
          <w:numId w:val="5"/>
        </w:numPr>
        <w:tabs>
          <w:tab w:val="clear" w:pos="720"/>
          <w:tab w:val="left" w:pos="0" w:leader="none"/>
        </w:tabs>
        <w:ind w:hanging="283" w:left="709"/>
        <w:rPr/>
      </w:pPr>
      <w:r>
        <w:rPr/>
        <w:t xml:space="preserve">They do not create a conflict of interest </w:t>
      </w:r>
    </w:p>
    <w:p>
      <w:pPr>
        <w:pStyle w:val="Heading3"/>
        <w:spacing w:before="80" w:after="283"/>
        <w:rPr/>
      </w:pPr>
      <w:r>
        <w:rPr/>
        <w:t>4.2</w:t>
      </w:r>
    </w:p>
    <w:p>
      <w:pPr>
        <w:pStyle w:val="BodyText"/>
        <w:rPr/>
      </w:pPr>
      <w:r>
        <w:rPr/>
        <w:t>Cash gifts or cash equivalents, including vouchers, are prohibited.</w:t>
      </w:r>
    </w:p>
    <w:p>
      <w:pPr>
        <w:pStyle w:val="Heading3"/>
        <w:spacing w:before="80" w:after="283"/>
        <w:rPr/>
      </w:pPr>
      <w:r>
        <w:rPr/>
        <w:t>4.3</w:t>
      </w:r>
    </w:p>
    <w:p>
      <w:pPr>
        <w:pStyle w:val="BodyText"/>
        <w:rPr/>
      </w:pPr>
      <w:r>
        <w:rPr/>
        <w:t>Any gift, hospitality or benefit with an estimated value exceeding £40 must be declared to the COMPLIANCE MANAGER.</w:t>
      </w:r>
    </w:p>
    <w:p>
      <w:pPr>
        <w:pStyle w:val="Heading3"/>
        <w:spacing w:before="80" w:after="283"/>
        <w:rPr/>
      </w:pPr>
      <w:r>
        <w:rPr/>
        <w:t>4.4</w:t>
      </w:r>
    </w:p>
    <w:p>
      <w:pPr>
        <w:pStyle w:val="BodyText"/>
        <w:rPr/>
      </w:pPr>
      <w:r>
        <w:rPr/>
        <w:t>Employees must avoid situations where personal interests conflict, or may appear to conflict, with the interests of the company.</w:t>
      </w:r>
    </w:p>
    <w:p>
      <w:pPr>
        <w:pStyle w:val="Heading3"/>
        <w:spacing w:before="80" w:after="283"/>
        <w:rPr/>
      </w:pPr>
      <w:r>
        <w:rPr/>
        <w:t>4.5</w:t>
      </w:r>
    </w:p>
    <w:p>
      <w:pPr>
        <w:pStyle w:val="BodyText"/>
        <w:rPr/>
      </w:pPr>
      <w:r>
        <w:rPr/>
        <w:t>Any potential conflict of interest must be declared to the COMPLIANCE MANAGER.</w:t>
      </w:r>
    </w:p>
    <w:p>
      <w:pPr>
        <w:pStyle w:val="HorizontalLine"/>
        <w:rPr/>
      </w:pPr>
      <w:r>
        <w:rPr/>
      </w:r>
    </w:p>
    <w:p>
      <w:pPr>
        <w:pStyle w:val="Heading1"/>
        <w:rPr/>
      </w:pPr>
      <w:r>
        <w:rPr/>
        <w:t>5. Employee Responsibilities</w:t>
      </w:r>
    </w:p>
    <w:p>
      <w:pPr>
        <w:pStyle w:val="Heading3"/>
        <w:spacing w:before="80" w:after="283"/>
        <w:rPr/>
      </w:pPr>
      <w:r>
        <w:rPr/>
        <w:t>5.1</w:t>
      </w:r>
    </w:p>
    <w:p>
      <w:pPr>
        <w:pStyle w:val="BodyText"/>
        <w:rPr/>
      </w:pPr>
      <w:r>
        <w:rPr/>
        <w:t>All employees and associated persons are responsible for:</w:t>
      </w:r>
    </w:p>
    <w:p>
      <w:pPr>
        <w:pStyle w:val="BodyText"/>
        <w:numPr>
          <w:ilvl w:val="0"/>
          <w:numId w:val="6"/>
        </w:numPr>
        <w:tabs>
          <w:tab w:val="clear" w:pos="720"/>
          <w:tab w:val="left" w:pos="0" w:leader="none"/>
        </w:tabs>
        <w:spacing w:before="0" w:after="0"/>
        <w:ind w:hanging="283" w:left="709"/>
        <w:rPr/>
      </w:pPr>
      <w:r>
        <w:rPr/>
        <w:t xml:space="preserve">Reading and complying with this policy </w:t>
      </w:r>
    </w:p>
    <w:p>
      <w:pPr>
        <w:pStyle w:val="BodyText"/>
        <w:numPr>
          <w:ilvl w:val="0"/>
          <w:numId w:val="6"/>
        </w:numPr>
        <w:tabs>
          <w:tab w:val="clear" w:pos="720"/>
          <w:tab w:val="left" w:pos="0" w:leader="none"/>
        </w:tabs>
        <w:spacing w:before="0" w:after="0"/>
        <w:ind w:hanging="283" w:left="709"/>
        <w:rPr/>
      </w:pPr>
      <w:r>
        <w:rPr/>
        <w:t xml:space="preserve">Acting honestly and ethically </w:t>
      </w:r>
    </w:p>
    <w:p>
      <w:pPr>
        <w:pStyle w:val="BodyText"/>
        <w:numPr>
          <w:ilvl w:val="0"/>
          <w:numId w:val="6"/>
        </w:numPr>
        <w:tabs>
          <w:tab w:val="clear" w:pos="720"/>
          <w:tab w:val="left" w:pos="0" w:leader="none"/>
        </w:tabs>
        <w:spacing w:before="0" w:after="0"/>
        <w:ind w:hanging="283" w:left="709"/>
        <w:rPr/>
      </w:pPr>
      <w:r>
        <w:rPr/>
        <w:t xml:space="preserve">Preventing and reporting suspected fraud or corruption </w:t>
      </w:r>
    </w:p>
    <w:p>
      <w:pPr>
        <w:pStyle w:val="BodyText"/>
        <w:numPr>
          <w:ilvl w:val="0"/>
          <w:numId w:val="6"/>
        </w:numPr>
        <w:tabs>
          <w:tab w:val="clear" w:pos="720"/>
          <w:tab w:val="left" w:pos="0" w:leader="none"/>
        </w:tabs>
        <w:spacing w:before="0" w:after="0"/>
        <w:ind w:hanging="283" w:left="709"/>
        <w:rPr/>
      </w:pPr>
      <w:r>
        <w:rPr/>
        <w:t xml:space="preserve">Maintaining accurate records </w:t>
      </w:r>
    </w:p>
    <w:p>
      <w:pPr>
        <w:pStyle w:val="BodyText"/>
        <w:numPr>
          <w:ilvl w:val="0"/>
          <w:numId w:val="6"/>
        </w:numPr>
        <w:tabs>
          <w:tab w:val="clear" w:pos="720"/>
          <w:tab w:val="left" w:pos="0" w:leader="none"/>
        </w:tabs>
        <w:spacing w:before="0" w:after="0"/>
        <w:ind w:hanging="283" w:left="709"/>
        <w:rPr/>
      </w:pPr>
      <w:r>
        <w:rPr/>
        <w:t xml:space="preserve">Cooperating with investigations </w:t>
      </w:r>
    </w:p>
    <w:p>
      <w:pPr>
        <w:pStyle w:val="BodyText"/>
        <w:numPr>
          <w:ilvl w:val="0"/>
          <w:numId w:val="6"/>
        </w:numPr>
        <w:tabs>
          <w:tab w:val="clear" w:pos="720"/>
          <w:tab w:val="left" w:pos="0" w:leader="none"/>
        </w:tabs>
        <w:ind w:hanging="283" w:left="709"/>
        <w:rPr/>
      </w:pPr>
      <w:r>
        <w:rPr/>
        <w:t xml:space="preserve">Completing required training </w:t>
      </w:r>
    </w:p>
    <w:p>
      <w:pPr>
        <w:pStyle w:val="Heading3"/>
        <w:spacing w:before="80" w:after="283"/>
        <w:rPr/>
      </w:pPr>
      <w:r>
        <w:rPr/>
        <w:t>5.2</w:t>
      </w:r>
    </w:p>
    <w:p>
      <w:pPr>
        <w:pStyle w:val="BodyText"/>
        <w:rPr/>
      </w:pPr>
      <w:r>
        <w:rPr/>
        <w:t>Employees must not:</w:t>
      </w:r>
    </w:p>
    <w:p>
      <w:pPr>
        <w:pStyle w:val="BodyText"/>
        <w:numPr>
          <w:ilvl w:val="0"/>
          <w:numId w:val="7"/>
        </w:numPr>
        <w:tabs>
          <w:tab w:val="clear" w:pos="720"/>
          <w:tab w:val="left" w:pos="0" w:leader="none"/>
        </w:tabs>
        <w:spacing w:before="0" w:after="0"/>
        <w:ind w:hanging="283" w:left="709"/>
        <w:rPr/>
      </w:pPr>
      <w:r>
        <w:rPr/>
        <w:t xml:space="preserve">Offer or accept bribes </w:t>
      </w:r>
    </w:p>
    <w:p>
      <w:pPr>
        <w:pStyle w:val="BodyText"/>
        <w:numPr>
          <w:ilvl w:val="0"/>
          <w:numId w:val="7"/>
        </w:numPr>
        <w:tabs>
          <w:tab w:val="clear" w:pos="720"/>
          <w:tab w:val="left" w:pos="0" w:leader="none"/>
        </w:tabs>
        <w:spacing w:before="0" w:after="0"/>
        <w:ind w:hanging="283" w:left="709"/>
        <w:rPr/>
      </w:pPr>
      <w:r>
        <w:rPr/>
        <w:t xml:space="preserve">Falsify records or invoices </w:t>
      </w:r>
    </w:p>
    <w:p>
      <w:pPr>
        <w:pStyle w:val="BodyText"/>
        <w:numPr>
          <w:ilvl w:val="0"/>
          <w:numId w:val="7"/>
        </w:numPr>
        <w:tabs>
          <w:tab w:val="clear" w:pos="720"/>
          <w:tab w:val="left" w:pos="0" w:leader="none"/>
        </w:tabs>
        <w:spacing w:before="0" w:after="0"/>
        <w:ind w:hanging="283" w:left="709"/>
        <w:rPr/>
      </w:pPr>
      <w:r>
        <w:rPr/>
        <w:t xml:space="preserve">Misuse company funds or assets </w:t>
      </w:r>
    </w:p>
    <w:p>
      <w:pPr>
        <w:pStyle w:val="BodyText"/>
        <w:numPr>
          <w:ilvl w:val="0"/>
          <w:numId w:val="7"/>
        </w:numPr>
        <w:tabs>
          <w:tab w:val="clear" w:pos="720"/>
          <w:tab w:val="left" w:pos="0" w:leader="none"/>
        </w:tabs>
        <w:spacing w:before="0" w:after="0"/>
        <w:ind w:hanging="283" w:left="709"/>
        <w:rPr/>
      </w:pPr>
      <w:r>
        <w:rPr/>
        <w:t xml:space="preserve">Conceal financial information </w:t>
      </w:r>
    </w:p>
    <w:p>
      <w:pPr>
        <w:pStyle w:val="BodyText"/>
        <w:numPr>
          <w:ilvl w:val="0"/>
          <w:numId w:val="7"/>
        </w:numPr>
        <w:tabs>
          <w:tab w:val="clear" w:pos="720"/>
          <w:tab w:val="left" w:pos="0" w:leader="none"/>
        </w:tabs>
        <w:spacing w:before="0" w:after="0"/>
        <w:ind w:hanging="283" w:left="709"/>
        <w:rPr/>
      </w:pPr>
      <w:r>
        <w:rPr/>
        <w:t xml:space="preserve">Circumvent internal controls </w:t>
      </w:r>
    </w:p>
    <w:p>
      <w:pPr>
        <w:pStyle w:val="BodyText"/>
        <w:numPr>
          <w:ilvl w:val="0"/>
          <w:numId w:val="7"/>
        </w:numPr>
        <w:tabs>
          <w:tab w:val="clear" w:pos="720"/>
          <w:tab w:val="left" w:pos="0" w:leader="none"/>
        </w:tabs>
        <w:spacing w:before="0" w:after="0"/>
        <w:ind w:hanging="283" w:left="709"/>
        <w:rPr/>
      </w:pPr>
      <w:r>
        <w:rPr/>
        <w:t xml:space="preserve">Engage in dishonest or fraudulent conduct </w:t>
      </w:r>
    </w:p>
    <w:p>
      <w:pPr>
        <w:pStyle w:val="BodyText"/>
        <w:numPr>
          <w:ilvl w:val="0"/>
          <w:numId w:val="7"/>
        </w:numPr>
        <w:tabs>
          <w:tab w:val="clear" w:pos="720"/>
          <w:tab w:val="left" w:pos="0" w:leader="none"/>
        </w:tabs>
        <w:ind w:hanging="283" w:left="709"/>
        <w:rPr/>
      </w:pPr>
      <w:r>
        <w:rPr/>
        <w:t xml:space="preserve">Retaliate against anyone raising a genuine concern </w:t>
      </w:r>
    </w:p>
    <w:p>
      <w:pPr>
        <w:pStyle w:val="Heading3"/>
        <w:spacing w:before="80" w:after="283"/>
        <w:rPr/>
      </w:pPr>
      <w:r>
        <w:rPr/>
        <w:t>5.3</w:t>
      </w:r>
    </w:p>
    <w:p>
      <w:pPr>
        <w:pStyle w:val="BodyText"/>
        <w:rPr/>
      </w:pPr>
      <w:r>
        <w:rPr/>
        <w:t>All financial records, expense claims, purchase records, invoices and supporting documentation must be maintained accurately and completely. Off-book accounts or concealed transactions are strictly prohibited.</w:t>
      </w:r>
    </w:p>
    <w:p>
      <w:pPr>
        <w:pStyle w:val="HorizontalLine"/>
        <w:rPr/>
      </w:pPr>
      <w:r>
        <w:rPr/>
      </w:r>
    </w:p>
    <w:p>
      <w:pPr>
        <w:pStyle w:val="Heading1"/>
        <w:rPr/>
      </w:pPr>
      <w:r>
        <w:rPr/>
        <w:t>6. Reporting Concerns and Whistleblowing</w:t>
      </w:r>
    </w:p>
    <w:p>
      <w:pPr>
        <w:pStyle w:val="Heading3"/>
        <w:spacing w:before="80" w:after="283"/>
        <w:rPr/>
      </w:pPr>
      <w:r>
        <w:rPr/>
        <w:t>6.1</w:t>
      </w:r>
    </w:p>
    <w:p>
      <w:pPr>
        <w:pStyle w:val="BodyText"/>
        <w:rPr/>
      </w:pPr>
      <w:r>
        <w:rPr/>
        <w:t>Any employee or associated person who suspects fraud, bribery, corruption or other unlawful conduct must report the matter immediately to the COMPLIANCE MANAGER, line manager or director.</w:t>
      </w:r>
    </w:p>
    <w:p>
      <w:pPr>
        <w:pStyle w:val="Heading3"/>
        <w:spacing w:before="80" w:after="283"/>
        <w:rPr/>
      </w:pPr>
      <w:r>
        <w:rPr/>
        <w:t>6.2</w:t>
      </w:r>
    </w:p>
    <w:p>
      <w:pPr>
        <w:pStyle w:val="BodyText"/>
        <w:rPr/>
      </w:pPr>
      <w:r>
        <w:rPr/>
        <w:t>Reports may include concerns relating to:</w:t>
      </w:r>
    </w:p>
    <w:p>
      <w:pPr>
        <w:pStyle w:val="BodyText"/>
        <w:numPr>
          <w:ilvl w:val="0"/>
          <w:numId w:val="8"/>
        </w:numPr>
        <w:tabs>
          <w:tab w:val="clear" w:pos="720"/>
          <w:tab w:val="left" w:pos="0" w:leader="none"/>
        </w:tabs>
        <w:spacing w:before="0" w:after="0"/>
        <w:ind w:hanging="283" w:left="709"/>
        <w:rPr/>
      </w:pPr>
      <w:r>
        <w:rPr/>
        <w:t xml:space="preserve">Financial irregularities </w:t>
      </w:r>
    </w:p>
    <w:p>
      <w:pPr>
        <w:pStyle w:val="BodyText"/>
        <w:numPr>
          <w:ilvl w:val="0"/>
          <w:numId w:val="8"/>
        </w:numPr>
        <w:tabs>
          <w:tab w:val="clear" w:pos="720"/>
          <w:tab w:val="left" w:pos="0" w:leader="none"/>
        </w:tabs>
        <w:spacing w:before="0" w:after="0"/>
        <w:ind w:hanging="283" w:left="709"/>
        <w:rPr/>
      </w:pPr>
      <w:r>
        <w:rPr/>
        <w:t xml:space="preserve">False invoicing </w:t>
      </w:r>
    </w:p>
    <w:p>
      <w:pPr>
        <w:pStyle w:val="BodyText"/>
        <w:numPr>
          <w:ilvl w:val="0"/>
          <w:numId w:val="8"/>
        </w:numPr>
        <w:tabs>
          <w:tab w:val="clear" w:pos="720"/>
          <w:tab w:val="left" w:pos="0" w:leader="none"/>
        </w:tabs>
        <w:spacing w:before="0" w:after="0"/>
        <w:ind w:hanging="283" w:left="709"/>
        <w:rPr/>
      </w:pPr>
      <w:r>
        <w:rPr/>
        <w:t xml:space="preserve">Procurement concerns </w:t>
      </w:r>
    </w:p>
    <w:p>
      <w:pPr>
        <w:pStyle w:val="BodyText"/>
        <w:numPr>
          <w:ilvl w:val="0"/>
          <w:numId w:val="8"/>
        </w:numPr>
        <w:tabs>
          <w:tab w:val="clear" w:pos="720"/>
          <w:tab w:val="left" w:pos="0" w:leader="none"/>
        </w:tabs>
        <w:spacing w:before="0" w:after="0"/>
        <w:ind w:hanging="283" w:left="709"/>
        <w:rPr/>
      </w:pPr>
      <w:r>
        <w:rPr/>
        <w:t xml:space="preserve">Supplier misconduct </w:t>
      </w:r>
    </w:p>
    <w:p>
      <w:pPr>
        <w:pStyle w:val="BodyText"/>
        <w:numPr>
          <w:ilvl w:val="0"/>
          <w:numId w:val="8"/>
        </w:numPr>
        <w:tabs>
          <w:tab w:val="clear" w:pos="720"/>
          <w:tab w:val="left" w:pos="0" w:leader="none"/>
        </w:tabs>
        <w:spacing w:before="0" w:after="0"/>
        <w:ind w:hanging="283" w:left="709"/>
        <w:rPr/>
      </w:pPr>
      <w:r>
        <w:rPr/>
        <w:t xml:space="preserve">Conflicts of interest </w:t>
      </w:r>
    </w:p>
    <w:p>
      <w:pPr>
        <w:pStyle w:val="BodyText"/>
        <w:numPr>
          <w:ilvl w:val="0"/>
          <w:numId w:val="8"/>
        </w:numPr>
        <w:tabs>
          <w:tab w:val="clear" w:pos="720"/>
          <w:tab w:val="left" w:pos="0" w:leader="none"/>
        </w:tabs>
        <w:spacing w:before="0" w:after="0"/>
        <w:ind w:hanging="283" w:left="709"/>
        <w:rPr/>
      </w:pPr>
      <w:r>
        <w:rPr/>
        <w:t xml:space="preserve">Theft or misuse of assets </w:t>
      </w:r>
    </w:p>
    <w:p>
      <w:pPr>
        <w:pStyle w:val="BodyText"/>
        <w:numPr>
          <w:ilvl w:val="0"/>
          <w:numId w:val="8"/>
        </w:numPr>
        <w:tabs>
          <w:tab w:val="clear" w:pos="720"/>
          <w:tab w:val="left" w:pos="0" w:leader="none"/>
        </w:tabs>
        <w:spacing w:before="0" w:after="0"/>
        <w:ind w:hanging="283" w:left="709"/>
        <w:rPr/>
      </w:pPr>
      <w:r>
        <w:rPr/>
        <w:t xml:space="preserve">Bribery or improper inducements </w:t>
      </w:r>
    </w:p>
    <w:p>
      <w:pPr>
        <w:pStyle w:val="BodyText"/>
        <w:numPr>
          <w:ilvl w:val="0"/>
          <w:numId w:val="8"/>
        </w:numPr>
        <w:tabs>
          <w:tab w:val="clear" w:pos="720"/>
          <w:tab w:val="left" w:pos="0" w:leader="none"/>
        </w:tabs>
        <w:ind w:hanging="283" w:left="709"/>
        <w:rPr/>
      </w:pPr>
      <w:r>
        <w:rPr/>
        <w:t xml:space="preserve">Cyber or payment fraud </w:t>
      </w:r>
    </w:p>
    <w:p>
      <w:pPr>
        <w:pStyle w:val="Heading3"/>
        <w:spacing w:before="80" w:after="283"/>
        <w:rPr/>
      </w:pPr>
      <w:r>
        <w:rPr/>
        <w:t>6.3</w:t>
      </w:r>
    </w:p>
    <w:p>
      <w:pPr>
        <w:pStyle w:val="BodyText"/>
        <w:rPr/>
      </w:pPr>
      <w:r>
        <w:rPr/>
        <w:t>Viamed Group of Companies will support any individual who raises concerns in good faith.</w:t>
      </w:r>
    </w:p>
    <w:p>
      <w:pPr>
        <w:pStyle w:val="Heading3"/>
        <w:spacing w:before="80" w:after="283"/>
        <w:rPr/>
      </w:pPr>
      <w:r>
        <w:rPr/>
        <w:t>6.4</w:t>
      </w:r>
    </w:p>
    <w:p>
      <w:pPr>
        <w:pStyle w:val="BodyText"/>
        <w:rPr/>
      </w:pPr>
      <w:r>
        <w:rPr/>
        <w:t>No employee will suffer dismissal, disciplinary action, discrimination or retaliation for reporting genuine concerns.</w:t>
      </w:r>
    </w:p>
    <w:p>
      <w:pPr>
        <w:pStyle w:val="HorizontalLine"/>
        <w:rPr/>
      </w:pPr>
      <w:r>
        <w:rPr/>
      </w:r>
    </w:p>
    <w:p>
      <w:pPr>
        <w:pStyle w:val="Heading1"/>
        <w:rPr/>
      </w:pPr>
      <w:r>
        <w:rPr/>
        <w:t>7. Training and Awareness</w:t>
      </w:r>
    </w:p>
    <w:p>
      <w:pPr>
        <w:pStyle w:val="Heading3"/>
        <w:spacing w:before="80" w:after="283"/>
        <w:rPr/>
      </w:pPr>
      <w:r>
        <w:rPr/>
        <w:t>7.1</w:t>
      </w:r>
    </w:p>
    <w:p>
      <w:pPr>
        <w:pStyle w:val="BodyText"/>
        <w:rPr/>
      </w:pPr>
      <w:r>
        <w:rPr/>
        <w:t>Relevant anti-bribery, fraud prevention and compliance training will be provided to employees as appropriate to their role and responsibilities.</w:t>
      </w:r>
    </w:p>
    <w:p>
      <w:pPr>
        <w:pStyle w:val="Heading3"/>
        <w:spacing w:before="80" w:after="283"/>
        <w:rPr/>
      </w:pPr>
      <w:r>
        <w:rPr/>
        <w:t>7.2</w:t>
      </w:r>
    </w:p>
    <w:p>
      <w:pPr>
        <w:pStyle w:val="BodyText"/>
        <w:rPr/>
      </w:pPr>
      <w:r>
        <w:rPr/>
        <w:t>New employees will receive awareness of this policy as part of their induction process.</w:t>
      </w:r>
    </w:p>
    <w:p>
      <w:pPr>
        <w:pStyle w:val="Heading3"/>
        <w:spacing w:before="80" w:after="283"/>
        <w:rPr/>
      </w:pPr>
      <w:r>
        <w:rPr/>
        <w:t>7.3</w:t>
      </w:r>
    </w:p>
    <w:p>
      <w:pPr>
        <w:pStyle w:val="BodyText"/>
        <w:rPr/>
      </w:pPr>
      <w:r>
        <w:rPr/>
        <w:t>Employees may be required to confirm periodically that they have read and understood this policy.</w:t>
      </w:r>
    </w:p>
    <w:p>
      <w:pPr>
        <w:pStyle w:val="HorizontalLine"/>
        <w:rPr/>
      </w:pPr>
      <w:r>
        <w:rPr/>
      </w:r>
    </w:p>
    <w:p>
      <w:pPr>
        <w:pStyle w:val="Heading1"/>
        <w:rPr/>
      </w:pPr>
      <w:r>
        <w:rPr/>
        <w:t>8. Supplier and Third-Party Expectations</w:t>
      </w:r>
    </w:p>
    <w:p>
      <w:pPr>
        <w:pStyle w:val="Heading3"/>
        <w:spacing w:before="80" w:after="283"/>
        <w:rPr/>
      </w:pPr>
      <w:r>
        <w:rPr/>
        <w:t>8.1</w:t>
      </w:r>
    </w:p>
    <w:p>
      <w:pPr>
        <w:pStyle w:val="BodyText"/>
        <w:rPr/>
      </w:pPr>
      <w:r>
        <w:rPr/>
        <w:t>Viamed Group of Companies expects suppliers, contractors and business partners to operate ethically and maintain appropriate anti-fraud and anti-bribery controls.</w:t>
      </w:r>
    </w:p>
    <w:p>
      <w:pPr>
        <w:pStyle w:val="Heading3"/>
        <w:spacing w:before="80" w:after="283"/>
        <w:rPr/>
      </w:pPr>
      <w:r>
        <w:rPr/>
        <w:t>8.2</w:t>
      </w:r>
    </w:p>
    <w:p>
      <w:pPr>
        <w:pStyle w:val="BodyText"/>
        <w:rPr/>
      </w:pPr>
      <w:r>
        <w:rPr/>
        <w:t>The company reserves the right to review supplier compliance where concerns arise.</w:t>
      </w:r>
    </w:p>
    <w:p>
      <w:pPr>
        <w:pStyle w:val="Heading3"/>
        <w:spacing w:before="80" w:after="283"/>
        <w:rPr/>
      </w:pPr>
      <w:r>
        <w:rPr/>
        <w:t>8.3</w:t>
      </w:r>
    </w:p>
    <w:p>
      <w:pPr>
        <w:pStyle w:val="BodyText"/>
        <w:rPr/>
      </w:pPr>
      <w:r>
        <w:rPr/>
        <w:t>Where appropriate, contractual arrangements may include anti-bribery, anti-fraud and ethical compliance requirements.</w:t>
      </w:r>
    </w:p>
    <w:p>
      <w:pPr>
        <w:pStyle w:val="HorizontalLine"/>
        <w:rPr/>
      </w:pPr>
      <w:r>
        <w:rPr/>
      </w:r>
    </w:p>
    <w:p>
      <w:pPr>
        <w:pStyle w:val="Heading1"/>
        <w:rPr/>
      </w:pPr>
      <w:r>
        <w:rPr/>
        <w:t>9. Record Keeping and Monitoring</w:t>
      </w:r>
    </w:p>
    <w:p>
      <w:pPr>
        <w:pStyle w:val="Heading3"/>
        <w:spacing w:before="80" w:after="283"/>
        <w:rPr/>
      </w:pPr>
      <w:r>
        <w:rPr/>
        <w:t>9.1</w:t>
      </w:r>
    </w:p>
    <w:p>
      <w:pPr>
        <w:pStyle w:val="BodyText"/>
        <w:rPr/>
      </w:pPr>
      <w:r>
        <w:rPr/>
        <w:t>Viamed Group of Companies will maintain accurate records relating to:</w:t>
      </w:r>
    </w:p>
    <w:p>
      <w:pPr>
        <w:pStyle w:val="BodyText"/>
        <w:numPr>
          <w:ilvl w:val="0"/>
          <w:numId w:val="9"/>
        </w:numPr>
        <w:tabs>
          <w:tab w:val="clear" w:pos="720"/>
          <w:tab w:val="left" w:pos="0" w:leader="none"/>
        </w:tabs>
        <w:spacing w:before="0" w:after="0"/>
        <w:ind w:hanging="283" w:left="709"/>
        <w:rPr/>
      </w:pPr>
      <w:r>
        <w:rPr/>
        <w:t xml:space="preserve">Financial transactions </w:t>
      </w:r>
    </w:p>
    <w:p>
      <w:pPr>
        <w:pStyle w:val="BodyText"/>
        <w:numPr>
          <w:ilvl w:val="0"/>
          <w:numId w:val="9"/>
        </w:numPr>
        <w:tabs>
          <w:tab w:val="clear" w:pos="720"/>
          <w:tab w:val="left" w:pos="0" w:leader="none"/>
        </w:tabs>
        <w:spacing w:before="0" w:after="0"/>
        <w:ind w:hanging="283" w:left="709"/>
        <w:rPr/>
      </w:pPr>
      <w:r>
        <w:rPr/>
        <w:t xml:space="preserve">Gifts and hospitality </w:t>
      </w:r>
    </w:p>
    <w:p>
      <w:pPr>
        <w:pStyle w:val="BodyText"/>
        <w:numPr>
          <w:ilvl w:val="0"/>
          <w:numId w:val="9"/>
        </w:numPr>
        <w:tabs>
          <w:tab w:val="clear" w:pos="720"/>
          <w:tab w:val="left" w:pos="0" w:leader="none"/>
        </w:tabs>
        <w:spacing w:before="0" w:after="0"/>
        <w:ind w:hanging="283" w:left="709"/>
        <w:rPr/>
      </w:pPr>
      <w:r>
        <w:rPr/>
        <w:t xml:space="preserve">Supplier approvals </w:t>
      </w:r>
    </w:p>
    <w:p>
      <w:pPr>
        <w:pStyle w:val="BodyText"/>
        <w:numPr>
          <w:ilvl w:val="0"/>
          <w:numId w:val="9"/>
        </w:numPr>
        <w:tabs>
          <w:tab w:val="clear" w:pos="720"/>
          <w:tab w:val="left" w:pos="0" w:leader="none"/>
        </w:tabs>
        <w:spacing w:before="0" w:after="0"/>
        <w:ind w:hanging="283" w:left="709"/>
        <w:rPr/>
      </w:pPr>
      <w:r>
        <w:rPr/>
        <w:t xml:space="preserve">Expense claims </w:t>
      </w:r>
    </w:p>
    <w:p>
      <w:pPr>
        <w:pStyle w:val="BodyText"/>
        <w:numPr>
          <w:ilvl w:val="0"/>
          <w:numId w:val="9"/>
        </w:numPr>
        <w:tabs>
          <w:tab w:val="clear" w:pos="720"/>
          <w:tab w:val="left" w:pos="0" w:leader="none"/>
        </w:tabs>
        <w:spacing w:before="0" w:after="0"/>
        <w:ind w:hanging="283" w:left="709"/>
        <w:rPr/>
      </w:pPr>
      <w:r>
        <w:rPr/>
        <w:t xml:space="preserve">Training activities </w:t>
      </w:r>
    </w:p>
    <w:p>
      <w:pPr>
        <w:pStyle w:val="BodyText"/>
        <w:numPr>
          <w:ilvl w:val="0"/>
          <w:numId w:val="9"/>
        </w:numPr>
        <w:tabs>
          <w:tab w:val="clear" w:pos="720"/>
          <w:tab w:val="left" w:pos="0" w:leader="none"/>
        </w:tabs>
        <w:spacing w:before="0" w:after="0"/>
        <w:ind w:hanging="283" w:left="709"/>
        <w:rPr/>
      </w:pPr>
      <w:r>
        <w:rPr/>
        <w:t xml:space="preserve">Audits and reviews </w:t>
      </w:r>
    </w:p>
    <w:p>
      <w:pPr>
        <w:pStyle w:val="BodyText"/>
        <w:numPr>
          <w:ilvl w:val="0"/>
          <w:numId w:val="9"/>
        </w:numPr>
        <w:tabs>
          <w:tab w:val="clear" w:pos="720"/>
          <w:tab w:val="left" w:pos="0" w:leader="none"/>
        </w:tabs>
        <w:ind w:hanging="283" w:left="709"/>
        <w:rPr/>
      </w:pPr>
      <w:r>
        <w:rPr/>
        <w:t xml:space="preserve">Reported concerns and investigations </w:t>
      </w:r>
    </w:p>
    <w:p>
      <w:pPr>
        <w:pStyle w:val="Heading3"/>
        <w:spacing w:before="80" w:after="283"/>
        <w:rPr/>
      </w:pPr>
      <w:r>
        <w:rPr/>
        <w:t>9.2</w:t>
      </w:r>
    </w:p>
    <w:p>
      <w:pPr>
        <w:pStyle w:val="BodyText"/>
        <w:rPr/>
      </w:pPr>
      <w:r>
        <w:rPr/>
        <w:t>Internal controls and procedures will be periodically reviewed to assess their effectiveness.</w:t>
      </w:r>
    </w:p>
    <w:p>
      <w:pPr>
        <w:pStyle w:val="Heading3"/>
        <w:spacing w:before="80" w:after="283"/>
        <w:rPr/>
      </w:pPr>
      <w:r>
        <w:rPr/>
        <w:t>9.3</w:t>
      </w:r>
    </w:p>
    <w:p>
      <w:pPr>
        <w:pStyle w:val="BodyText"/>
        <w:rPr/>
      </w:pPr>
      <w:r>
        <w:rPr/>
        <w:t>Audit activities, management reviews, rolling issue reviews and corrective action processes may be used to monitor compliance and identify improvements.</w:t>
      </w:r>
    </w:p>
    <w:p>
      <w:pPr>
        <w:pStyle w:val="HorizontalLine"/>
        <w:rPr/>
      </w:pPr>
      <w:r>
        <w:rPr/>
      </w:r>
    </w:p>
    <w:p>
      <w:pPr>
        <w:pStyle w:val="Heading1"/>
        <w:rPr/>
      </w:pPr>
      <w:r>
        <w:rPr/>
        <w:t>10. Breaches of this Policy</w:t>
      </w:r>
    </w:p>
    <w:p>
      <w:pPr>
        <w:pStyle w:val="Heading3"/>
        <w:spacing w:before="80" w:after="283"/>
        <w:rPr/>
      </w:pPr>
      <w:r>
        <w:rPr/>
        <w:t>10.1</w:t>
      </w:r>
    </w:p>
    <w:p>
      <w:pPr>
        <w:pStyle w:val="BodyText"/>
        <w:rPr/>
      </w:pPr>
      <w:r>
        <w:rPr/>
        <w:t>Any breach of this policy may result in disciplinary action, up to and including dismissal.</w:t>
      </w:r>
    </w:p>
    <w:p>
      <w:pPr>
        <w:pStyle w:val="Heading3"/>
        <w:spacing w:before="80" w:after="283"/>
        <w:rPr/>
      </w:pPr>
      <w:r>
        <w:rPr/>
        <w:t>10.2</w:t>
      </w:r>
    </w:p>
    <w:p>
      <w:pPr>
        <w:pStyle w:val="BodyText"/>
        <w:rPr/>
      </w:pPr>
      <w:r>
        <w:rPr/>
        <w:t>Where criminal conduct is suspected, the company may report matters to appropriate authorities including police, NHS Counter Fraud Authority or regulatory bodies.</w:t>
      </w:r>
    </w:p>
    <w:p>
      <w:pPr>
        <w:pStyle w:val="HorizontalLine"/>
        <w:rPr/>
      </w:pPr>
      <w:r>
        <w:rPr/>
      </w:r>
    </w:p>
    <w:p>
      <w:pPr>
        <w:pStyle w:val="Heading1"/>
        <w:rPr/>
      </w:pPr>
      <w:r>
        <w:rPr/>
        <w:t>11. Policy Review</w:t>
      </w:r>
    </w:p>
    <w:p>
      <w:pPr>
        <w:pStyle w:val="Heading3"/>
        <w:spacing w:before="80" w:after="283"/>
        <w:rPr/>
      </w:pPr>
      <w:r>
        <w:rPr/>
        <w:t>11.1</w:t>
      </w:r>
    </w:p>
    <w:p>
      <w:pPr>
        <w:pStyle w:val="BodyText"/>
        <w:rPr/>
      </w:pPr>
      <w:r>
        <w:rPr/>
        <w:t>This policy will be periodically reviewed by the COMPLIANCE MANAGER and company management to ensure continued suitability, adequacy and effectiveness.</w:t>
      </w:r>
    </w:p>
    <w:p>
      <w:pPr>
        <w:pStyle w:val="Heading3"/>
        <w:spacing w:before="80" w:after="283"/>
        <w:rPr/>
      </w:pPr>
      <w:r>
        <w:rPr/>
        <w:t>11.2</w:t>
      </w:r>
    </w:p>
    <w:p>
      <w:pPr>
        <w:pStyle w:val="BodyText"/>
        <w:rPr/>
      </w:pPr>
      <w:r>
        <w:rPr/>
        <w:t>The company reserves the right to amend this policy at any time to reflect changes in legislation, operational risks or business requirements.</w:t>
      </w:r>
    </w:p>
    <w:p>
      <w:pPr>
        <w:pStyle w:val="Normal"/>
        <w:spacing w:before="400" w:after="40"/>
        <w:rPr>
          <w:rFonts w:ascii="Calibri" w:hAnsi="Calibri" w:cs="Calibri"/>
        </w:rPr>
      </w:pPr>
      <w:r>
        <w:rPr>
          <w:rFonts w:cs="Calibri"/>
        </w:rPr>
      </w:r>
    </w:p>
    <w:p>
      <w:pPr>
        <w:pStyle w:val="Normal"/>
        <w:rPr>
          <w:rFonts w:ascii="Calibri" w:hAnsi="Calibri" w:cs="Calibri"/>
        </w:rPr>
      </w:pPr>
      <w:r>
        <w:rPr>
          <w:rFonts w:cs="Calibri"/>
        </w:rPr>
      </w:r>
    </w:p>
    <w:p>
      <w:pPr>
        <w:pStyle w:val="Normal"/>
        <w:rPr>
          <w:rFonts w:ascii="Calibri" w:hAnsi="Calibri" w:cs="Calibri"/>
        </w:rPr>
      </w:pPr>
      <w:r>
        <w:rPr>
          <w:rFonts w:cs="Calibri"/>
        </w:rPr>
      </w:r>
    </w:p>
    <w:p>
      <w:pPr>
        <w:pStyle w:val="Normal"/>
        <w:rPr>
          <w:rFonts w:ascii="Calibri" w:hAnsi="Calibri" w:cs="Calibri"/>
        </w:rPr>
      </w:pPr>
      <w:r>
        <w:rPr>
          <w:rFonts w:cs="Calibri"/>
        </w:rPr>
      </w:r>
    </w:p>
    <w:p>
      <w:pPr>
        <w:pStyle w:val="Normal"/>
        <w:rPr>
          <w:rFonts w:ascii="Calibri" w:hAnsi="Calibri" w:cs="Calibri"/>
        </w:rPr>
      </w:pPr>
      <w:r>
        <w:rPr>
          <w:rFonts w:cs="Calibri"/>
        </w:rPr>
      </w:r>
    </w:p>
    <w:p>
      <w:pPr>
        <w:pStyle w:val="Normal"/>
        <w:rPr>
          <w:rFonts w:ascii="Calibri" w:hAnsi="Calibri" w:cs="Calibri"/>
        </w:rPr>
      </w:pPr>
      <w:r>
        <w:rPr>
          <w:rFonts w:cs="Calibri"/>
        </w:rPr>
      </w:r>
    </w:p>
    <w:p>
      <w:pPr>
        <w:pStyle w:val="Coverpagetext"/>
        <w:rPr>
          <w:rFonts w:ascii="Calibri" w:hAnsi="Calibri" w:cs="Calibri"/>
        </w:rPr>
      </w:pPr>
      <w:r>
        <w:rPr>
          <w:rFonts w:cs="Calibri" w:ascii="Calibri" w:hAnsi="Calibri"/>
        </w:rPr>
      </w:r>
    </w:p>
    <w:p>
      <w:pPr>
        <w:pStyle w:val="Coverpagetext"/>
        <w:rPr>
          <w:rFonts w:ascii="Calibri" w:hAnsi="Calibri" w:cs="Calibri"/>
        </w:rPr>
      </w:pPr>
      <w:r>
        <w:rPr>
          <w:rFonts w:cs="Calibri" w:ascii="Calibri" w:hAnsi="Calibri"/>
        </w:rPr>
      </w:r>
    </w:p>
    <w:p>
      <w:pPr>
        <w:pStyle w:val="Coverpagetext"/>
        <w:rPr>
          <w:rFonts w:ascii="Calibri" w:hAnsi="Calibri" w:cs="Calibri"/>
        </w:rPr>
      </w:pPr>
      <w:r>
        <w:rPr>
          <w:rFonts w:cs="Calibri" w:ascii="Calibri" w:hAnsi="Calibri"/>
        </w:rPr>
      </w:r>
    </w:p>
    <w:p>
      <w:pPr>
        <w:pStyle w:val="Coverpagetext"/>
        <w:rPr>
          <w:rFonts w:ascii="Calibri" w:hAnsi="Calibri" w:cs="Calibri"/>
        </w:rPr>
      </w:pPr>
      <w:r>
        <w:rPr>
          <w:rFonts w:cs="Calibri" w:ascii="Calibri" w:hAnsi="Calibri"/>
        </w:rPr>
      </w:r>
    </w:p>
    <w:p>
      <w:pPr>
        <w:pStyle w:val="Coverpagetext"/>
        <w:rPr>
          <w:rFonts w:ascii="Calibri" w:hAnsi="Calibri" w:cs="Calibri"/>
        </w:rPr>
      </w:pPr>
      <w:r>
        <w:rPr>
          <w:rFonts w:cs="Calibri" w:ascii="Calibri" w:hAnsi="Calibri"/>
        </w:rPr>
      </w:r>
    </w:p>
    <w:p>
      <w:pPr>
        <w:pStyle w:val="Coverpagetext"/>
        <w:spacing w:before="0" w:after="120"/>
        <w:jc w:val="center"/>
        <w:rPr/>
      </w:pPr>
      <w:r>
        <w:rPr/>
      </w:r>
    </w:p>
    <w:sectPr>
      <w:footerReference w:type="default" r:id="rId2"/>
      <w:type w:val="nextPage"/>
      <w:pgSz w:w="11906" w:h="16838"/>
      <w:pgMar w:left="720" w:right="720" w:gutter="0" w:header="0" w:top="720" w:footer="325" w:bottom="720"/>
      <w:pgNumType w:start="0" w:fmt="decimal"/>
      <w:formProt w:val="false"/>
      <w:titlePg/>
      <w:textDirection w:val="lrTb"/>
      <w:docGrid w:type="default" w:linePitch="381"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ource Sans Pro">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Arial">
    <w:charset w:val="00"/>
    <w:family w:val="roman"/>
    <w:pitch w:val="variable"/>
  </w:font>
  <w:font w:name="Helvetica">
    <w:altName w:val="Arial"/>
    <w:charset w:val="00"/>
    <w:family w:val="roman"/>
    <w:pitch w:val="variable"/>
  </w:font>
  <w:font w:name="Aller">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026"/>
        <w:tab w:val="center" w:pos="4513" w:leader="none"/>
        <w:tab w:val="right" w:pos="9072" w:leader="none"/>
      </w:tabs>
      <w:rPr/>
    </w:pPr>
    <w:r>
      <w:rPr>
        <w:rFonts w:ascii="Aller" w:hAnsi="Aller"/>
        <w:color w:val="44A4D1"/>
        <w:sz w:val="24"/>
        <w:szCs w:val="24"/>
      </w:rPr>
      <w:tab/>
      <w:tab/>
      <w:t xml:space="preserve">Page </w:t>
    </w:r>
    <w:r>
      <w:rPr>
        <w:rFonts w:ascii="Aller" w:hAnsi="Aller"/>
        <w:sz w:val="24"/>
        <w:szCs w:val="24"/>
      </w:rPr>
      <w:fldChar w:fldCharType="begin"/>
    </w:r>
    <w:r>
      <w:rPr>
        <w:sz w:val="24"/>
        <w:szCs w:val="24"/>
        <w:rFonts w:ascii="Aller" w:hAnsi="Aller"/>
      </w:rPr>
      <w:instrText xml:space="preserve"> PAGE </w:instrText>
    </w:r>
    <w:r>
      <w:rPr>
        <w:sz w:val="24"/>
        <w:szCs w:val="24"/>
        <w:rFonts w:ascii="Aller" w:hAnsi="Aller"/>
      </w:rPr>
      <w:fldChar w:fldCharType="separate"/>
    </w:r>
    <w:r>
      <w:rPr>
        <w:sz w:val="24"/>
        <w:szCs w:val="24"/>
        <w:rFonts w:ascii="Aller" w:hAnsi="Aller"/>
      </w:rPr>
      <w:t>5</w:t>
    </w:r>
    <w:r>
      <w:rPr>
        <w:sz w:val="24"/>
        <w:szCs w:val="24"/>
        <w:rFonts w:ascii="Aller" w:hAnsi="Aller"/>
      </w:rPr>
      <w:fldChar w:fldCharType="end"/>
    </w:r>
    <w:r>
      <w:rPr>
        <w:rFonts w:ascii="Aller" w:hAnsi="Aller"/>
        <w:color w:val="44A4D1"/>
        <w:sz w:val="24"/>
        <w:szCs w:val="24"/>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Arial" w:asciiTheme="minorHAnsi" w:cstheme="minorBidi" w:eastAsiaTheme="minorEastAsia" w:hAnsiTheme="minorHAnsi"/>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7e28"/>
    <w:pPr>
      <w:widowControl/>
      <w:bidi w:val="0"/>
      <w:spacing w:lineRule="auto" w:line="264" w:before="0" w:after="120"/>
      <w:jc w:val="left"/>
    </w:pPr>
    <w:rPr>
      <w:rFonts w:ascii="Calibri" w:hAnsi="Calibri" w:eastAsia="" w:cs="Arial"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Heading1Char"/>
    <w:uiPriority w:val="9"/>
    <w:qFormat/>
    <w:rsid w:val="00057e28"/>
    <w:pPr>
      <w:keepNext w:val="true"/>
      <w:keepLines/>
      <w:pBdr>
        <w:bottom w:val="single" w:sz="4" w:space="1" w:color="4472C4"/>
      </w:pBdr>
      <w:spacing w:lineRule="auto" w:line="240" w:before="400" w:after="40"/>
      <w:outlineLvl w:val="0"/>
    </w:pPr>
    <w:rPr>
      <w:rFonts w:ascii="Calibri Light" w:hAnsi="Calibri Light" w:eastAsia="" w:cs="Times New Roman" w:asciiTheme="majorHAnsi" w:cstheme="majorBidi" w:eastAsiaTheme="majorEastAsia" w:hAnsiTheme="majorHAnsi"/>
      <w:color w:themeColor="accent1" w:themeShade="bf" w:val="2F5496"/>
      <w:sz w:val="36"/>
      <w:szCs w:val="36"/>
    </w:rPr>
  </w:style>
  <w:style w:type="paragraph" w:styleId="Heading2">
    <w:name w:val="Heading 2"/>
    <w:basedOn w:val="Normal"/>
    <w:next w:val="Normal"/>
    <w:link w:val="Heading2Char"/>
    <w:uiPriority w:val="9"/>
    <w:unhideWhenUsed/>
    <w:qFormat/>
    <w:rsid w:val="00057e28"/>
    <w:pPr>
      <w:keepNext w:val="true"/>
      <w:keepLines/>
      <w:spacing w:lineRule="auto" w:line="240" w:before="160" w:after="0"/>
      <w:outlineLvl w:val="1"/>
    </w:pPr>
    <w:rPr>
      <w:rFonts w:ascii="Calibri Light" w:hAnsi="Calibri Light" w:eastAsia="" w:cs="Times New Roman" w:asciiTheme="majorHAnsi" w:cstheme="majorBidi" w:eastAsiaTheme="majorEastAsia" w:hAnsiTheme="majorHAnsi"/>
      <w:color w:themeColor="accent1" w:themeShade="bf" w:val="2F5496"/>
      <w:sz w:val="28"/>
      <w:szCs w:val="28"/>
    </w:rPr>
  </w:style>
  <w:style w:type="paragraph" w:styleId="Heading3">
    <w:name w:val="Heading 3"/>
    <w:basedOn w:val="Normal"/>
    <w:next w:val="Normal"/>
    <w:link w:val="Heading3Char"/>
    <w:uiPriority w:val="9"/>
    <w:semiHidden/>
    <w:unhideWhenUsed/>
    <w:qFormat/>
    <w:rsid w:val="00057e28"/>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text1" w:themeTint="bf" w:val="404040"/>
      <w:sz w:val="26"/>
      <w:szCs w:val="26"/>
    </w:rPr>
  </w:style>
  <w:style w:type="paragraph" w:styleId="Heading4">
    <w:name w:val="Heading 4"/>
    <w:basedOn w:val="Normal"/>
    <w:next w:val="Normal"/>
    <w:link w:val="Heading4Char"/>
    <w:uiPriority w:val="9"/>
    <w:semiHidden/>
    <w:unhideWhenUsed/>
    <w:qFormat/>
    <w:rsid w:val="00057e28"/>
    <w:pPr>
      <w:keepNext w:val="true"/>
      <w:keepLines/>
      <w:spacing w:before="80" w:after="0"/>
      <w:outlineLvl w:val="3"/>
    </w:pPr>
    <w:rPr>
      <w:rFonts w:ascii="Calibri Light" w:hAnsi="Calibri Light" w:eastAsia="" w:cs="Times New Roman" w:asciiTheme="majorHAnsi" w:cstheme="majorBidi" w:eastAsiaTheme="majorEastAsia" w:hAnsiTheme="majorHAnsi"/>
      <w:sz w:val="24"/>
      <w:szCs w:val="24"/>
    </w:rPr>
  </w:style>
  <w:style w:type="paragraph" w:styleId="Heading5">
    <w:name w:val="Heading 5"/>
    <w:basedOn w:val="Normal"/>
    <w:next w:val="Normal"/>
    <w:link w:val="Heading5Char"/>
    <w:uiPriority w:val="9"/>
    <w:semiHidden/>
    <w:unhideWhenUsed/>
    <w:qFormat/>
    <w:rsid w:val="00057e28"/>
    <w:pPr>
      <w:keepNext w:val="true"/>
      <w:keepLines/>
      <w:spacing w:before="80" w:after="0"/>
      <w:outlineLvl w:val="4"/>
    </w:pPr>
    <w:rPr>
      <w:rFonts w:ascii="Calibri Light" w:hAnsi="Calibri Light" w:eastAsia="" w:cs="Times New Roman" w:asciiTheme="majorHAnsi" w:cstheme="majorBidi" w:eastAsiaTheme="majorEastAsia" w:hAnsiTheme="majorHAnsi"/>
      <w:i/>
      <w:iCs/>
      <w:sz w:val="22"/>
      <w:szCs w:val="22"/>
    </w:rPr>
  </w:style>
  <w:style w:type="paragraph" w:styleId="Heading6">
    <w:name w:val="Heading 6"/>
    <w:basedOn w:val="Normal"/>
    <w:next w:val="Normal"/>
    <w:link w:val="Heading6Char"/>
    <w:uiPriority w:val="9"/>
    <w:semiHidden/>
    <w:unhideWhenUsed/>
    <w:qFormat/>
    <w:rsid w:val="00057e28"/>
    <w:pPr>
      <w:keepNext w:val="true"/>
      <w:keepLines/>
      <w:spacing w:before="80" w:after="0"/>
      <w:outlineLvl w:val="5"/>
    </w:pPr>
    <w:rPr>
      <w:rFonts w:ascii="Calibri Light" w:hAnsi="Calibri Light" w:eastAsia="" w:cs="Times New Roman" w:asciiTheme="majorHAnsi" w:cstheme="majorBidi" w:eastAsiaTheme="majorEastAsia" w:hAnsiTheme="majorHAnsi"/>
      <w:color w:themeColor="text1" w:themeTint="a6" w:val="595959"/>
    </w:rPr>
  </w:style>
  <w:style w:type="paragraph" w:styleId="Heading7">
    <w:name w:val="Heading 7"/>
    <w:basedOn w:val="Normal"/>
    <w:next w:val="Normal"/>
    <w:link w:val="Heading7Char"/>
    <w:uiPriority w:val="9"/>
    <w:semiHidden/>
    <w:unhideWhenUsed/>
    <w:qFormat/>
    <w:rsid w:val="00057e28"/>
    <w:pPr>
      <w:keepNext w:val="true"/>
      <w:keepLines/>
      <w:spacing w:before="80" w:after="0"/>
      <w:outlineLvl w:val="6"/>
    </w:pPr>
    <w:rPr>
      <w:rFonts w:ascii="Calibri Light" w:hAnsi="Calibri Light" w:eastAsia="" w:cs="Times New Roman" w:asciiTheme="majorHAnsi" w:cstheme="majorBidi" w:eastAsiaTheme="majorEastAsia" w:hAnsiTheme="majorHAnsi"/>
      <w:i/>
      <w:iCs/>
      <w:color w:themeColor="text1" w:themeTint="a6" w:val="595959"/>
    </w:rPr>
  </w:style>
  <w:style w:type="paragraph" w:styleId="Heading8">
    <w:name w:val="Heading 8"/>
    <w:basedOn w:val="Normal"/>
    <w:next w:val="Normal"/>
    <w:link w:val="Heading8Char"/>
    <w:uiPriority w:val="9"/>
    <w:semiHidden/>
    <w:unhideWhenUsed/>
    <w:qFormat/>
    <w:rsid w:val="00057e28"/>
    <w:pPr>
      <w:keepNext w:val="true"/>
      <w:keepLines/>
      <w:spacing w:before="80" w:after="0"/>
      <w:outlineLvl w:val="7"/>
    </w:pPr>
    <w:rPr>
      <w:rFonts w:ascii="Calibri Light" w:hAnsi="Calibri Light" w:eastAsia="" w:cs="Times New Roman" w:asciiTheme="majorHAnsi" w:cstheme="majorBidi" w:eastAsiaTheme="majorEastAsia" w:hAnsiTheme="majorHAnsi"/>
      <w:smallCaps/>
      <w:color w:themeColor="text1" w:themeTint="a6" w:val="595959"/>
    </w:rPr>
  </w:style>
  <w:style w:type="paragraph" w:styleId="Heading9">
    <w:name w:val="Heading 9"/>
    <w:basedOn w:val="Normal"/>
    <w:next w:val="Normal"/>
    <w:link w:val="Heading9Char"/>
    <w:uiPriority w:val="9"/>
    <w:semiHidden/>
    <w:unhideWhenUsed/>
    <w:qFormat/>
    <w:rsid w:val="00057e28"/>
    <w:pPr>
      <w:keepNext w:val="true"/>
      <w:keepLines/>
      <w:spacing w:before="80" w:after="0"/>
      <w:outlineLvl w:val="8"/>
    </w:pPr>
    <w:rPr>
      <w:rFonts w:ascii="Calibri Light" w:hAnsi="Calibri Light" w:eastAsia="" w:cs="Times New Roman" w:asciiTheme="majorHAnsi" w:cstheme="majorBidi" w:eastAsiaTheme="majorEastAsia" w:hAnsiTheme="majorHAnsi"/>
      <w:i/>
      <w:iCs/>
      <w:smallCaps/>
      <w:color w:themeColor="text1" w:themeTint="a6" w:val="595959"/>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057e28"/>
    <w:rPr>
      <w:rFonts w:ascii="Calibri Light" w:hAnsi="Calibri Light" w:eastAsia="" w:cs="Times New Roman" w:asciiTheme="majorHAnsi" w:cstheme="majorBidi" w:eastAsiaTheme="majorEastAsia" w:hAnsiTheme="majorHAnsi"/>
      <w:color w:themeColor="accent1" w:themeShade="bf" w:val="2F5496"/>
      <w:sz w:val="36"/>
      <w:szCs w:val="36"/>
    </w:rPr>
  </w:style>
  <w:style w:type="character" w:styleId="FooterChar" w:customStyle="1">
    <w:name w:val="Footer Char"/>
    <w:basedOn w:val="DefaultParagraphFont"/>
    <w:link w:val="Footer"/>
    <w:uiPriority w:val="99"/>
    <w:qFormat/>
    <w:rsid w:val="00e628b2"/>
    <w:rPr>
      <w:rFonts w:ascii="Source Sans Pro" w:hAnsi="Source Sans Pro"/>
      <w:color w:themeColor="text1" w:themeTint="d9" w:val="262626"/>
      <w:sz w:val="28"/>
      <w:szCs w:val="28"/>
      <w:lang w:val="en-GB" w:bidi="he-IL"/>
    </w:rPr>
  </w:style>
  <w:style w:type="character" w:styleId="TitleChar" w:customStyle="1">
    <w:name w:val="Title Char"/>
    <w:basedOn w:val="DefaultParagraphFont"/>
    <w:link w:val="Title"/>
    <w:uiPriority w:val="10"/>
    <w:qFormat/>
    <w:rsid w:val="00057e28"/>
    <w:rPr>
      <w:rFonts w:ascii="Calibri Light" w:hAnsi="Calibri Light" w:eastAsia="" w:cs="Times New Roman" w:asciiTheme="majorHAnsi" w:cstheme="majorBidi" w:eastAsiaTheme="majorEastAsia" w:hAnsiTheme="majorHAnsi"/>
      <w:color w:themeColor="accent1" w:themeShade="bf" w:val="2F5496"/>
      <w:spacing w:val="-7"/>
      <w:sz w:val="80"/>
      <w:szCs w:val="80"/>
    </w:rPr>
  </w:style>
  <w:style w:type="character" w:styleId="SubtitletextChar" w:customStyle="1">
    <w:name w:val="Subtitle text Char"/>
    <w:basedOn w:val="DefaultParagraphFont"/>
    <w:link w:val="Subtitletext"/>
    <w:qFormat/>
    <w:rsid w:val="00e628b2"/>
    <w:rPr>
      <w:rFonts w:ascii="Source Sans Pro" w:hAnsi="Source Sans Pro"/>
      <w:bCs/>
      <w:i/>
      <w:iCs/>
      <w:color w:themeColor="background1" w:themeTint="d9" w:val="FFFFFF"/>
      <w:sz w:val="44"/>
      <w:szCs w:val="44"/>
      <w:lang w:val="en-GB" w:bidi="he-IL"/>
    </w:rPr>
  </w:style>
  <w:style w:type="character" w:styleId="CoverpagetextChar" w:customStyle="1">
    <w:name w:val="Cover page text Char"/>
    <w:basedOn w:val="DefaultParagraphFont"/>
    <w:link w:val="Coverpagetext"/>
    <w:qFormat/>
    <w:rsid w:val="00e628b2"/>
    <w:rPr>
      <w:rFonts w:ascii="Source Sans Pro" w:hAnsi="Source Sans Pro"/>
      <w:color w:themeColor="background1" w:themeTint="d9" w:val="FFFFFF"/>
      <w:sz w:val="28"/>
      <w:szCs w:val="28"/>
      <w:lang w:val="en-GB" w:bidi="he-IL"/>
    </w:rPr>
  </w:style>
  <w:style w:type="character" w:styleId="Heading2Char" w:customStyle="1">
    <w:name w:val="Heading 2 Char"/>
    <w:basedOn w:val="DefaultParagraphFont"/>
    <w:link w:val="Heading2"/>
    <w:uiPriority w:val="9"/>
    <w:qFormat/>
    <w:rsid w:val="00057e28"/>
    <w:rPr>
      <w:rFonts w:ascii="Calibri Light" w:hAnsi="Calibri Light" w:eastAsia="" w:cs="Times New Roman" w:asciiTheme="majorHAnsi" w:cstheme="majorBidi" w:eastAsiaTheme="majorEastAsia" w:hAnsiTheme="majorHAnsi"/>
      <w:color w:themeColor="accent1" w:themeShade="bf" w:val="2F5496"/>
      <w:sz w:val="28"/>
      <w:szCs w:val="28"/>
    </w:rPr>
  </w:style>
  <w:style w:type="character" w:styleId="IntenseEmphasis">
    <w:name w:val="Intense Emphasis"/>
    <w:basedOn w:val="DefaultParagraphFont"/>
    <w:uiPriority w:val="21"/>
    <w:qFormat/>
    <w:rsid w:val="00057e28"/>
    <w:rPr>
      <w:b/>
      <w:bCs/>
      <w:i/>
      <w:iCs/>
    </w:rPr>
  </w:style>
  <w:style w:type="character" w:styleId="HeaderChar" w:customStyle="1">
    <w:name w:val="Header Char"/>
    <w:basedOn w:val="DefaultParagraphFont"/>
    <w:link w:val="Header"/>
    <w:uiPriority w:val="99"/>
    <w:qFormat/>
    <w:rsid w:val="00cc1813"/>
    <w:rPr>
      <w:rFonts w:ascii="Source Sans Pro" w:hAnsi="Source Sans Pro"/>
      <w:color w:themeColor="text1" w:themeTint="d9" w:val="262626"/>
      <w:sz w:val="28"/>
      <w:szCs w:val="28"/>
      <w:lang w:val="en-GB" w:bidi="he-IL"/>
    </w:rPr>
  </w:style>
  <w:style w:type="character" w:styleId="Heading3Char" w:customStyle="1">
    <w:name w:val="Heading 3 Char"/>
    <w:basedOn w:val="DefaultParagraphFont"/>
    <w:link w:val="Heading3"/>
    <w:uiPriority w:val="9"/>
    <w:semiHidden/>
    <w:qFormat/>
    <w:rsid w:val="00057e28"/>
    <w:rPr>
      <w:rFonts w:ascii="Calibri Light" w:hAnsi="Calibri Light" w:eastAsia="" w:cs="Times New Roman" w:asciiTheme="majorHAnsi" w:cstheme="majorBidi" w:eastAsiaTheme="majorEastAsia" w:hAnsiTheme="majorHAnsi"/>
      <w:color w:themeColor="text1" w:themeTint="bf" w:val="404040"/>
      <w:sz w:val="26"/>
      <w:szCs w:val="26"/>
    </w:rPr>
  </w:style>
  <w:style w:type="character" w:styleId="Heading4Char" w:customStyle="1">
    <w:name w:val="Heading 4 Char"/>
    <w:basedOn w:val="DefaultParagraphFont"/>
    <w:link w:val="Heading4"/>
    <w:uiPriority w:val="9"/>
    <w:semiHidden/>
    <w:qFormat/>
    <w:rsid w:val="00057e28"/>
    <w:rPr>
      <w:rFonts w:ascii="Calibri Light" w:hAnsi="Calibri Light" w:eastAsia="" w:cs="Times New Roman" w:asciiTheme="majorHAnsi" w:cstheme="majorBidi" w:eastAsiaTheme="majorEastAsia" w:hAnsiTheme="majorHAnsi"/>
      <w:sz w:val="24"/>
      <w:szCs w:val="24"/>
    </w:rPr>
  </w:style>
  <w:style w:type="character" w:styleId="Heading5Char" w:customStyle="1">
    <w:name w:val="Heading 5 Char"/>
    <w:basedOn w:val="DefaultParagraphFont"/>
    <w:link w:val="Heading5"/>
    <w:uiPriority w:val="9"/>
    <w:semiHidden/>
    <w:qFormat/>
    <w:rsid w:val="00057e28"/>
    <w:rPr>
      <w:rFonts w:ascii="Calibri Light" w:hAnsi="Calibri Light" w:eastAsia="" w:cs="Times New Roman" w:asciiTheme="majorHAnsi" w:cstheme="majorBidi" w:eastAsiaTheme="majorEastAsia" w:hAnsiTheme="majorHAnsi"/>
      <w:i/>
      <w:iCs/>
      <w:sz w:val="22"/>
      <w:szCs w:val="22"/>
    </w:rPr>
  </w:style>
  <w:style w:type="character" w:styleId="Heading6Char" w:customStyle="1">
    <w:name w:val="Heading 6 Char"/>
    <w:basedOn w:val="DefaultParagraphFont"/>
    <w:link w:val="Heading6"/>
    <w:uiPriority w:val="9"/>
    <w:semiHidden/>
    <w:qFormat/>
    <w:rsid w:val="00057e28"/>
    <w:rPr>
      <w:rFonts w:ascii="Calibri Light" w:hAnsi="Calibri Light" w:eastAsia="" w:cs="Times New Roman" w:asciiTheme="majorHAnsi" w:cstheme="majorBidi" w:eastAsiaTheme="majorEastAsia" w:hAnsiTheme="majorHAnsi"/>
      <w:color w:themeColor="text1" w:themeTint="a6" w:val="595959"/>
    </w:rPr>
  </w:style>
  <w:style w:type="character" w:styleId="Heading7Char" w:customStyle="1">
    <w:name w:val="Heading 7 Char"/>
    <w:basedOn w:val="DefaultParagraphFont"/>
    <w:link w:val="Heading7"/>
    <w:uiPriority w:val="9"/>
    <w:semiHidden/>
    <w:qFormat/>
    <w:rsid w:val="00057e28"/>
    <w:rPr>
      <w:rFonts w:ascii="Calibri Light" w:hAnsi="Calibri Light" w:eastAsia="" w:cs="Times New Roman" w:asciiTheme="majorHAnsi" w:cstheme="majorBidi" w:eastAsiaTheme="majorEastAsia" w:hAnsiTheme="majorHAnsi"/>
      <w:i/>
      <w:iCs/>
      <w:color w:themeColor="text1" w:themeTint="a6" w:val="595959"/>
    </w:rPr>
  </w:style>
  <w:style w:type="character" w:styleId="Heading8Char" w:customStyle="1">
    <w:name w:val="Heading 8 Char"/>
    <w:basedOn w:val="DefaultParagraphFont"/>
    <w:link w:val="Heading8"/>
    <w:uiPriority w:val="9"/>
    <w:semiHidden/>
    <w:qFormat/>
    <w:rsid w:val="00057e28"/>
    <w:rPr>
      <w:rFonts w:ascii="Calibri Light" w:hAnsi="Calibri Light" w:eastAsia="" w:cs="Times New Roman" w:asciiTheme="majorHAnsi" w:cstheme="majorBidi" w:eastAsiaTheme="majorEastAsia" w:hAnsiTheme="majorHAnsi"/>
      <w:smallCaps/>
      <w:color w:themeColor="text1" w:themeTint="a6" w:val="595959"/>
    </w:rPr>
  </w:style>
  <w:style w:type="character" w:styleId="Heading9Char" w:customStyle="1">
    <w:name w:val="Heading 9 Char"/>
    <w:basedOn w:val="DefaultParagraphFont"/>
    <w:link w:val="Heading9"/>
    <w:uiPriority w:val="9"/>
    <w:semiHidden/>
    <w:qFormat/>
    <w:rsid w:val="00057e28"/>
    <w:rPr>
      <w:rFonts w:ascii="Calibri Light" w:hAnsi="Calibri Light" w:eastAsia="" w:cs="Times New Roman" w:asciiTheme="majorHAnsi" w:cstheme="majorBidi" w:eastAsiaTheme="majorEastAsia" w:hAnsiTheme="majorHAnsi"/>
      <w:i/>
      <w:iCs/>
      <w:smallCaps/>
      <w:color w:themeColor="text1" w:themeTint="a6" w:val="595959"/>
    </w:rPr>
  </w:style>
  <w:style w:type="character" w:styleId="SubtitleChar" w:customStyle="1">
    <w:name w:val="Subtitle Char"/>
    <w:basedOn w:val="DefaultParagraphFont"/>
    <w:link w:val="Subtitle"/>
    <w:uiPriority w:val="11"/>
    <w:qFormat/>
    <w:rsid w:val="00057e28"/>
    <w:rPr>
      <w:rFonts w:ascii="Calibri Light" w:hAnsi="Calibri Light" w:eastAsia="" w:cs="Times New Roman" w:asciiTheme="majorHAnsi" w:cstheme="majorBidi" w:eastAsiaTheme="majorEastAsia" w:hAnsiTheme="majorHAnsi"/>
      <w:color w:themeColor="text1" w:themeTint="bf" w:val="404040"/>
      <w:sz w:val="30"/>
      <w:szCs w:val="30"/>
    </w:rPr>
  </w:style>
  <w:style w:type="character" w:styleId="Strong">
    <w:name w:val="Strong"/>
    <w:basedOn w:val="DefaultParagraphFont"/>
    <w:uiPriority w:val="22"/>
    <w:qFormat/>
    <w:rsid w:val="00057e28"/>
    <w:rPr>
      <w:b/>
      <w:bCs/>
    </w:rPr>
  </w:style>
  <w:style w:type="character" w:styleId="Emphasis">
    <w:name w:val="Emphasis"/>
    <w:basedOn w:val="DefaultParagraphFont"/>
    <w:uiPriority w:val="20"/>
    <w:qFormat/>
    <w:rsid w:val="00057e28"/>
    <w:rPr>
      <w:i/>
      <w:iCs/>
    </w:rPr>
  </w:style>
  <w:style w:type="character" w:styleId="QuoteChar" w:customStyle="1">
    <w:name w:val="Quote Char"/>
    <w:basedOn w:val="DefaultParagraphFont"/>
    <w:link w:val="Quote"/>
    <w:uiPriority w:val="29"/>
    <w:qFormat/>
    <w:rsid w:val="00057e28"/>
    <w:rPr>
      <w:i/>
      <w:iCs/>
    </w:rPr>
  </w:style>
  <w:style w:type="character" w:styleId="IntenseQuoteChar" w:customStyle="1">
    <w:name w:val="Intense Quote Char"/>
    <w:basedOn w:val="DefaultParagraphFont"/>
    <w:link w:val="IntenseQuote"/>
    <w:uiPriority w:val="30"/>
    <w:qFormat/>
    <w:rsid w:val="00057e28"/>
    <w:rPr>
      <w:rFonts w:ascii="Calibri Light" w:hAnsi="Calibri Light" w:eastAsia="" w:cs="Times New Roman" w:asciiTheme="majorHAnsi" w:cstheme="majorBidi" w:eastAsiaTheme="majorEastAsia" w:hAnsiTheme="majorHAnsi"/>
      <w:color w:themeColor="accent1" w:val="4472C4"/>
      <w:sz w:val="28"/>
      <w:szCs w:val="28"/>
    </w:rPr>
  </w:style>
  <w:style w:type="character" w:styleId="SubtleEmphasis">
    <w:name w:val="Subtle Emphasis"/>
    <w:basedOn w:val="DefaultParagraphFont"/>
    <w:uiPriority w:val="19"/>
    <w:qFormat/>
    <w:rsid w:val="00057e28"/>
    <w:rPr>
      <w:i/>
      <w:iCs/>
      <w:color w:themeColor="text1" w:themeTint="a6" w:val="595959"/>
    </w:rPr>
  </w:style>
  <w:style w:type="character" w:styleId="SubtleReference">
    <w:name w:val="Subtle Reference"/>
    <w:basedOn w:val="DefaultParagraphFont"/>
    <w:uiPriority w:val="31"/>
    <w:qFormat/>
    <w:rsid w:val="00057e28"/>
    <w:rPr>
      <w:smallCaps/>
      <w:color w:themeColor="text1" w:themeTint="bf" w:val="404040"/>
    </w:rPr>
  </w:style>
  <w:style w:type="character" w:styleId="IntenseReference">
    <w:name w:val="Intense Reference"/>
    <w:basedOn w:val="DefaultParagraphFont"/>
    <w:uiPriority w:val="32"/>
    <w:qFormat/>
    <w:rsid w:val="00057e28"/>
    <w:rPr>
      <w:b/>
      <w:bCs/>
      <w:smallCaps/>
      <w:u w:val="single"/>
    </w:rPr>
  </w:style>
  <w:style w:type="character" w:styleId="BookTitle">
    <w:name w:val="Book Title"/>
    <w:basedOn w:val="DefaultParagraphFont"/>
    <w:uiPriority w:val="33"/>
    <w:qFormat/>
    <w:rsid w:val="00057e28"/>
    <w:rPr>
      <w:b/>
      <w:bCs/>
      <w:smallCaps/>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link w:val="FooterChar"/>
    <w:uiPriority w:val="99"/>
    <w:unhideWhenUsed/>
    <w:rsid w:val="00e628b2"/>
    <w:pPr>
      <w:tabs>
        <w:tab w:val="clear" w:pos="720"/>
        <w:tab w:val="center" w:pos="4513" w:leader="none"/>
        <w:tab w:val="right" w:pos="9026" w:leader="none"/>
      </w:tabs>
      <w:spacing w:lineRule="auto" w:line="240" w:before="0" w:after="0"/>
    </w:pPr>
    <w:rPr/>
  </w:style>
  <w:style w:type="paragraph" w:styleId="Title">
    <w:name w:val="Title"/>
    <w:basedOn w:val="Normal"/>
    <w:next w:val="Normal"/>
    <w:link w:val="TitleChar"/>
    <w:uiPriority w:val="10"/>
    <w:qFormat/>
    <w:rsid w:val="00057e28"/>
    <w:pPr>
      <w:spacing w:lineRule="auto" w:line="240" w:before="0" w:after="0"/>
      <w:contextualSpacing/>
    </w:pPr>
    <w:rPr>
      <w:rFonts w:ascii="Calibri Light" w:hAnsi="Calibri Light" w:eastAsia="" w:cs="Times New Roman" w:asciiTheme="majorHAnsi" w:cstheme="majorBidi" w:eastAsiaTheme="majorEastAsia" w:hAnsiTheme="majorHAnsi"/>
      <w:color w:themeColor="accent1" w:themeShade="bf" w:val="2F5496"/>
      <w:spacing w:val="-7"/>
      <w:sz w:val="80"/>
      <w:szCs w:val="80"/>
    </w:rPr>
  </w:style>
  <w:style w:type="paragraph" w:styleId="Subtitletext" w:customStyle="1">
    <w:name w:val="Subtitle text"/>
    <w:basedOn w:val="Title"/>
    <w:link w:val="SubtitletextChar"/>
    <w:qFormat/>
    <w:rsid w:val="00e628b2"/>
    <w:pPr/>
    <w:rPr>
      <w:rFonts w:ascii="Source Sans Pro" w:hAnsi="Source Sans Pro"/>
      <w:i/>
      <w:iCs/>
      <w:sz w:val="44"/>
      <w:szCs w:val="44"/>
    </w:rPr>
  </w:style>
  <w:style w:type="paragraph" w:styleId="Coverpagetext" w:customStyle="1">
    <w:name w:val="Cover page text"/>
    <w:link w:val="CoverpagetextChar"/>
    <w:qFormat/>
    <w:rsid w:val="00e628b2"/>
    <w:pPr>
      <w:widowControl/>
      <w:bidi w:val="0"/>
      <w:spacing w:lineRule="auto" w:line="264" w:before="0" w:after="120"/>
      <w:jc w:val="left"/>
    </w:pPr>
    <w:rPr>
      <w:rFonts w:ascii="Source Sans Pro" w:hAnsi="Source Sans Pro" w:eastAsia="" w:cs="Arial"/>
      <w:color w:themeColor="background1" w:themeTint="d9" w:val="FFFFFF"/>
      <w:kern w:val="0"/>
      <w:sz w:val="28"/>
      <w:szCs w:val="28"/>
      <w:lang w:val="en-GB" w:eastAsia="en-US" w:bidi="he-IL"/>
    </w:rPr>
  </w:style>
  <w:style w:type="paragraph" w:styleId="ListParagraph">
    <w:name w:val="List Paragraph"/>
    <w:basedOn w:val="Normal"/>
    <w:uiPriority w:val="34"/>
    <w:qFormat/>
    <w:rsid w:val="00e628b2"/>
    <w:pPr>
      <w:spacing w:before="0" w:after="120"/>
      <w:ind w:hanging="0" w:left="720"/>
      <w:contextualSpacing/>
    </w:pPr>
    <w:rPr/>
  </w:style>
  <w:style w:type="paragraph" w:styleId="NormalWeb">
    <w:name w:val="Normal (Web)"/>
    <w:basedOn w:val="Normal"/>
    <w:unhideWhenUsed/>
    <w:qFormat/>
    <w:rsid w:val="00e628b2"/>
    <w:pPr>
      <w:spacing w:lineRule="auto" w:line="240" w:beforeAutospacing="1" w:afterAutospacing="1"/>
    </w:pPr>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cc1813"/>
    <w:pPr>
      <w:tabs>
        <w:tab w:val="clear" w:pos="720"/>
        <w:tab w:val="center" w:pos="4680" w:leader="none"/>
        <w:tab w:val="right" w:pos="9360" w:leader="none"/>
      </w:tabs>
      <w:spacing w:lineRule="auto" w:line="240" w:before="0" w:after="0"/>
    </w:pPr>
    <w:rPr/>
  </w:style>
  <w:style w:type="paragraph" w:styleId="Head-A" w:customStyle="1">
    <w:name w:val="Head-A"/>
    <w:qFormat/>
    <w:rsid w:val="005649f1"/>
    <w:pPr>
      <w:keepNext w:val="true"/>
      <w:widowControl w:val="false"/>
      <w:tabs>
        <w:tab w:val="clear" w:pos="720"/>
        <w:tab w:val="left" w:pos="851" w:leader="none"/>
      </w:tabs>
      <w:bidi w:val="0"/>
      <w:spacing w:lineRule="auto" w:line="240" w:before="480" w:after="240"/>
      <w:jc w:val="left"/>
    </w:pPr>
    <w:rPr>
      <w:rFonts w:ascii="Arial" w:hAnsi="Arial" w:eastAsia="Arial" w:cs="Arial"/>
      <w:b/>
      <w:bCs/>
      <w:color w:val="000000"/>
      <w:kern w:val="0"/>
      <w:sz w:val="24"/>
      <w:szCs w:val="24"/>
      <w:u w:val="none" w:color="000000"/>
      <w:lang w:val="en-US" w:eastAsia="en-US" w:bidi="he-IL"/>
    </w:rPr>
  </w:style>
  <w:style w:type="paragraph" w:styleId="Para" w:customStyle="1">
    <w:name w:val="para"/>
    <w:qFormat/>
    <w:rsid w:val="005649f1"/>
    <w:pPr>
      <w:widowControl w:val="false"/>
      <w:tabs>
        <w:tab w:val="clear" w:pos="720"/>
        <w:tab w:val="left" w:pos="851" w:leader="none"/>
      </w:tabs>
      <w:bidi w:val="0"/>
      <w:spacing w:lineRule="auto" w:line="240" w:before="120" w:after="0"/>
      <w:jc w:val="left"/>
    </w:pPr>
    <w:rPr>
      <w:rFonts w:ascii="Times New Roman" w:hAnsi="Times New Roman" w:eastAsia="Times New Roman" w:cs="Times New Roman"/>
      <w:color w:val="000000"/>
      <w:kern w:val="0"/>
      <w:sz w:val="24"/>
      <w:szCs w:val="24"/>
      <w:u w:val="none" w:color="000000"/>
      <w:lang w:val="en-US" w:eastAsia="en-US" w:bidi="he-IL"/>
    </w:rPr>
  </w:style>
  <w:style w:type="paragraph" w:styleId="List0bullet" w:customStyle="1">
    <w:name w:val="list0 bullet"/>
    <w:qFormat/>
    <w:rsid w:val="005649f1"/>
    <w:pPr>
      <w:widowControl w:val="false"/>
      <w:tabs>
        <w:tab w:val="clear" w:pos="720"/>
        <w:tab w:val="left" w:pos="567" w:leader="none"/>
      </w:tabs>
      <w:bidi w:val="0"/>
      <w:spacing w:lineRule="auto" w:line="240" w:before="120" w:after="0"/>
      <w:jc w:val="left"/>
    </w:pPr>
    <w:rPr>
      <w:rFonts w:ascii="Times New Roman" w:hAnsi="Times New Roman" w:eastAsia="Times New Roman" w:cs="Times New Roman"/>
      <w:color w:val="000000"/>
      <w:kern w:val="0"/>
      <w:sz w:val="24"/>
      <w:szCs w:val="24"/>
      <w:u w:val="none" w:color="000000"/>
      <w:lang w:val="en-US" w:eastAsia="en-US" w:bidi="he-IL"/>
    </w:rPr>
  </w:style>
  <w:style w:type="paragraph" w:styleId="Body" w:customStyle="1">
    <w:name w:val="Body"/>
    <w:qFormat/>
    <w:rsid w:val="005649f1"/>
    <w:pPr>
      <w:widowControl/>
      <w:bidi w:val="0"/>
      <w:spacing w:lineRule="auto" w:line="240" w:before="0" w:after="0"/>
      <w:jc w:val="left"/>
    </w:pPr>
    <w:rPr>
      <w:rFonts w:ascii="Helvetica" w:hAnsi="Helvetica" w:eastAsia="Arial Unicode MS" w:cs="Arial Unicode MS"/>
      <w:color w:val="000000"/>
      <w:kern w:val="0"/>
      <w:sz w:val="21"/>
      <w:szCs w:val="21"/>
      <w:lang w:val="en-US" w:eastAsia="en-US" w:bidi="he-IL"/>
    </w:rPr>
  </w:style>
  <w:style w:type="paragraph" w:styleId="Caption1">
    <w:name w:val="caption1"/>
    <w:basedOn w:val="Normal"/>
    <w:next w:val="Normal"/>
    <w:uiPriority w:val="35"/>
    <w:semiHidden/>
    <w:unhideWhenUsed/>
    <w:qFormat/>
    <w:rsid w:val="00057e28"/>
    <w:pPr>
      <w:spacing w:lineRule="auto" w:line="240"/>
    </w:pPr>
    <w:rPr>
      <w:b/>
      <w:bCs/>
      <w:color w:themeColor="text1" w:themeTint="bf" w:val="404040"/>
      <w:sz w:val="20"/>
      <w:szCs w:val="20"/>
    </w:rPr>
  </w:style>
  <w:style w:type="paragraph" w:styleId="Subtitle">
    <w:name w:val="Subtitle"/>
    <w:basedOn w:val="Normal"/>
    <w:next w:val="Normal"/>
    <w:link w:val="SubtitleChar"/>
    <w:uiPriority w:val="11"/>
    <w:qFormat/>
    <w:rsid w:val="00057e28"/>
    <w:pPr>
      <w:spacing w:lineRule="auto" w:line="240" w:before="0" w:after="240"/>
    </w:pPr>
    <w:rPr>
      <w:rFonts w:ascii="Calibri Light" w:hAnsi="Calibri Light" w:eastAsia="" w:cs="Times New Roman" w:asciiTheme="majorHAnsi" w:cstheme="majorBidi" w:eastAsiaTheme="majorEastAsia" w:hAnsiTheme="majorHAnsi"/>
      <w:color w:themeColor="text1" w:themeTint="bf" w:val="404040"/>
      <w:sz w:val="30"/>
      <w:szCs w:val="30"/>
    </w:rPr>
  </w:style>
  <w:style w:type="paragraph" w:styleId="NoSpacing">
    <w:name w:val="No Spacing"/>
    <w:uiPriority w:val="1"/>
    <w:qFormat/>
    <w:rsid w:val="00057e28"/>
    <w:pPr>
      <w:widowControl/>
      <w:bidi w:val="0"/>
      <w:spacing w:lineRule="auto" w:line="240" w:before="0" w:after="0"/>
      <w:jc w:val="left"/>
    </w:pPr>
    <w:rPr>
      <w:rFonts w:ascii="Calibri" w:hAnsi="Calibri" w:eastAsia="" w:cs="Arial" w:asciiTheme="minorHAnsi" w:cstheme="minorBidi" w:eastAsiaTheme="minorEastAsia" w:hAnsiTheme="minorHAnsi"/>
      <w:color w:val="auto"/>
      <w:kern w:val="0"/>
      <w:sz w:val="21"/>
      <w:szCs w:val="21"/>
      <w:lang w:val="en-US" w:eastAsia="en-US" w:bidi="ar-SA"/>
    </w:rPr>
  </w:style>
  <w:style w:type="paragraph" w:styleId="Quote">
    <w:name w:val="Quote"/>
    <w:basedOn w:val="Normal"/>
    <w:next w:val="Normal"/>
    <w:link w:val="QuoteChar"/>
    <w:uiPriority w:val="29"/>
    <w:qFormat/>
    <w:rsid w:val="00057e28"/>
    <w:pPr>
      <w:spacing w:lineRule="auto" w:line="252" w:before="240" w:after="240"/>
      <w:ind w:hanging="0" w:left="864" w:right="864"/>
      <w:jc w:val="center"/>
    </w:pPr>
    <w:rPr>
      <w:i/>
      <w:iCs/>
    </w:rPr>
  </w:style>
  <w:style w:type="paragraph" w:styleId="IntenseQuote">
    <w:name w:val="Intense Quote"/>
    <w:basedOn w:val="Normal"/>
    <w:next w:val="Normal"/>
    <w:link w:val="IntenseQuoteChar"/>
    <w:uiPriority w:val="30"/>
    <w:qFormat/>
    <w:rsid w:val="00057e28"/>
    <w:pPr>
      <w:spacing w:beforeAutospacing="1" w:after="240"/>
      <w:ind w:hanging="0" w:left="864" w:right="864"/>
      <w:jc w:val="center"/>
    </w:pPr>
    <w:rPr>
      <w:rFonts w:ascii="Calibri Light" w:hAnsi="Calibri Light" w:eastAsia="" w:cs="Times New Roman" w:asciiTheme="majorHAnsi" w:cstheme="majorBidi" w:eastAsiaTheme="majorEastAsia" w:hAnsiTheme="majorHAnsi"/>
      <w:color w:themeColor="accent1" w:val="4472C4"/>
      <w:sz w:val="28"/>
      <w:szCs w:val="28"/>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057e28"/>
    <w:pPr/>
    <w:rPr/>
  </w:style>
  <w:style w:type="paragraph" w:styleId="FrameContents">
    <w:name w:val="Frame Contents"/>
    <w:basedOn w:val="Normal"/>
    <w:qFormat/>
    <w:pPr/>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numbering" w:styleId="ImportedStyle36" w:customStyle="1">
    <w:name w:val="Imported Style 36"/>
    <w:qFormat/>
    <w:rsid w:val="005649f1"/>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e628b2"/>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LibreOffice/7.6.2.1$Windows_X86_64 LibreOffice_project/56f7684011345957bbf33a7ee678afaf4d2ba333</Application>
  <AppVersion>15.0000</AppVersion>
  <DocSecurity>0</DocSecurity>
  <Pages>6</Pages>
  <Words>1139</Words>
  <Characters>6784</Characters>
  <CharactersWithSpaces>7772</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2021-01-26T12:39:00Z</dcterms:created>
  <dc:creator>Addy Cooper</dc:creator>
  <dc:description/>
  <dc:language>en-GB</dc:language>
  <cp:lastModifiedBy/>
  <dcterms:modified xsi:type="dcterms:W3CDTF">2026-05-26T11:31:48Z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