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200" w:after="0"/>
        <w:jc w:val="center"/>
        <w:rPr>
          <w:color w:val="000000"/>
          <w:sz w:val="40"/>
          <w:szCs w:val="40"/>
        </w:rPr>
      </w:pPr>
      <w:r>
        <w:rPr>
          <w:color w:val="000000"/>
          <w:sz w:val="40"/>
          <w:szCs w:val="40"/>
        </w:rPr>
        <w:t xml:space="preserve">Viamed Ltd </w:t>
      </w:r>
    </w:p>
    <w:p>
      <w:pPr>
        <w:pStyle w:val="Heading3"/>
        <w:jc w:val="center"/>
        <w:rPr>
          <w:color w:val="000000"/>
          <w:sz w:val="40"/>
          <w:szCs w:val="40"/>
        </w:rPr>
      </w:pPr>
      <w:r>
        <w:rPr>
          <w:color w:val="000000"/>
          <w:sz w:val="40"/>
          <w:szCs w:val="40"/>
        </w:rPr>
        <w:t>Business Continuity &amp; Resilience Statement</w:t>
      </w:r>
    </w:p>
    <w:p>
      <w:pPr>
        <w:pStyle w:val="Normal"/>
        <w:rPr>
          <w:color w:val="000000"/>
        </w:rPr>
      </w:pPr>
      <w:r>
        <w:rPr>
          <w:color w:val="000000"/>
        </w:rPr>
      </w:r>
    </w:p>
    <w:p>
      <w:pPr>
        <w:pStyle w:val="BodyText"/>
        <w:rPr>
          <w:color w:val="000000"/>
        </w:rPr>
      </w:pPr>
      <w:r>
        <w:rPr>
          <w:color w:val="000000"/>
        </w:rPr>
        <w:t>Viamed Ltd is committed to ensuring the continuity of its critical operations, services, and obligations to customers in the event of unforeseen disruptions. This includes risks such as natural disasters, cyberattacks, pandemics, power outages, and supply chain interruptions.</w:t>
      </w:r>
    </w:p>
    <w:p>
      <w:pPr>
        <w:pStyle w:val="BodyText"/>
        <w:rPr>
          <w:color w:val="000000"/>
        </w:rPr>
      </w:pPr>
      <w:r>
        <w:rPr>
          <w:color w:val="000000"/>
        </w:rPr>
        <w:t>Our structured Business Continuity and Disaster Recovery Plan (BCDRP), based on VM3COP60.04, is designed to minimise downtime, protect critical systems, and ensure rapid recovery.</w:t>
      </w:r>
    </w:p>
    <w:p>
      <w:pPr>
        <w:pStyle w:val="HorizontalLine"/>
        <w:rPr>
          <w:color w:val="000000"/>
        </w:rPr>
      </w:pPr>
      <w:r>
        <w:rPr>
          <w:color w:val="000000"/>
        </w:rPr>
      </w:r>
    </w:p>
    <w:p>
      <w:pPr>
        <w:pStyle w:val="Heading3"/>
        <w:spacing w:before="200" w:after="283"/>
        <w:rPr>
          <w:color w:val="000000"/>
        </w:rPr>
      </w:pPr>
      <w:r>
        <w:rPr>
          <w:color w:val="000000"/>
        </w:rPr>
        <w:t>1. Policy Objectives</w:t>
      </w:r>
    </w:p>
    <w:p>
      <w:pPr>
        <w:pStyle w:val="BodyText"/>
        <w:numPr>
          <w:ilvl w:val="0"/>
          <w:numId w:val="7"/>
        </w:numPr>
        <w:tabs>
          <w:tab w:val="clear" w:pos="720"/>
          <w:tab w:val="left" w:pos="0" w:leader="none"/>
        </w:tabs>
        <w:ind w:hanging="283" w:left="709"/>
        <w:rPr>
          <w:color w:val="000000"/>
        </w:rPr>
      </w:pPr>
      <w:r>
        <w:rPr>
          <w:color w:val="000000"/>
        </w:rPr>
        <w:t>Maintain uninterrupted service to customers and partners.</w:t>
      </w:r>
    </w:p>
    <w:p>
      <w:pPr>
        <w:pStyle w:val="BodyText"/>
        <w:numPr>
          <w:ilvl w:val="0"/>
          <w:numId w:val="7"/>
        </w:numPr>
        <w:tabs>
          <w:tab w:val="clear" w:pos="720"/>
          <w:tab w:val="left" w:pos="0" w:leader="none"/>
        </w:tabs>
        <w:ind w:hanging="283" w:left="709"/>
        <w:rPr>
          <w:color w:val="000000"/>
        </w:rPr>
      </w:pPr>
      <w:r>
        <w:rPr>
          <w:color w:val="000000"/>
        </w:rPr>
        <w:t>Rapidly restore operations, IT systems, and communication channels.</w:t>
      </w:r>
    </w:p>
    <w:p>
      <w:pPr>
        <w:pStyle w:val="BodyText"/>
        <w:numPr>
          <w:ilvl w:val="0"/>
          <w:numId w:val="7"/>
        </w:numPr>
        <w:tabs>
          <w:tab w:val="clear" w:pos="720"/>
          <w:tab w:val="left" w:pos="0" w:leader="none"/>
        </w:tabs>
        <w:ind w:hanging="283" w:left="709"/>
        <w:rPr>
          <w:color w:val="000000"/>
        </w:rPr>
      </w:pPr>
      <w:r>
        <w:rPr>
          <w:color w:val="000000"/>
        </w:rPr>
        <w:t>Protect critical business data through secure and redundant systems.</w:t>
      </w:r>
    </w:p>
    <w:p>
      <w:pPr>
        <w:pStyle w:val="BodyText"/>
        <w:numPr>
          <w:ilvl w:val="0"/>
          <w:numId w:val="7"/>
        </w:numPr>
        <w:tabs>
          <w:tab w:val="clear" w:pos="720"/>
          <w:tab w:val="left" w:pos="0" w:leader="none"/>
        </w:tabs>
        <w:ind w:hanging="283" w:left="709"/>
        <w:rPr>
          <w:color w:val="000000"/>
        </w:rPr>
      </w:pPr>
      <w:r>
        <w:rPr>
          <w:color w:val="000000"/>
        </w:rPr>
        <w:t>Ensure clear internal responsibilities and coordinated external communications.</w:t>
      </w:r>
    </w:p>
    <w:p>
      <w:pPr>
        <w:pStyle w:val="HorizontalLine"/>
        <w:rPr>
          <w:color w:val="000000"/>
        </w:rPr>
      </w:pPr>
      <w:r>
        <w:rPr>
          <w:color w:val="000000"/>
        </w:rPr>
      </w:r>
    </w:p>
    <w:p>
      <w:pPr>
        <w:pStyle w:val="Heading3"/>
        <w:spacing w:before="200" w:after="283"/>
        <w:rPr>
          <w:color w:val="000000"/>
        </w:rPr>
      </w:pPr>
      <w:r>
        <w:rPr>
          <w:color w:val="000000"/>
        </w:rPr>
        <w:t>2. Key Preparedness Measures</w:t>
      </w:r>
    </w:p>
    <w:p>
      <w:pPr>
        <w:pStyle w:val="BodyText"/>
        <w:numPr>
          <w:ilvl w:val="0"/>
          <w:numId w:val="8"/>
        </w:numPr>
        <w:tabs>
          <w:tab w:val="clear" w:pos="720"/>
          <w:tab w:val="left" w:pos="0" w:leader="none"/>
        </w:tabs>
        <w:ind w:hanging="283" w:left="709"/>
        <w:rPr>
          <w:color w:val="000000"/>
        </w:rPr>
      </w:pPr>
      <w:r>
        <w:rPr>
          <w:color w:val="000000"/>
        </w:rPr>
        <w:t>Remote Operational Readiness: Core platforms are cloud-based and support full remote working.</w:t>
      </w:r>
    </w:p>
    <w:p>
      <w:pPr>
        <w:pStyle w:val="BodyText"/>
        <w:numPr>
          <w:ilvl w:val="0"/>
          <w:numId w:val="8"/>
        </w:numPr>
        <w:tabs>
          <w:tab w:val="clear" w:pos="720"/>
          <w:tab w:val="left" w:pos="0" w:leader="none"/>
        </w:tabs>
        <w:ind w:hanging="283" w:left="709"/>
        <w:rPr>
          <w:color w:val="000000"/>
        </w:rPr>
      </w:pPr>
      <w:r>
        <w:rPr>
          <w:color w:val="000000"/>
        </w:rPr>
        <w:t xml:space="preserve">Data Resilience: Off-site backups are taken daily; recovery tests are </w:t>
      </w:r>
      <w:r>
        <w:rPr>
          <w:color w:val="000000"/>
        </w:rPr>
        <w:t>regularly</w:t>
      </w:r>
      <w:r>
        <w:rPr>
          <w:color w:val="000000"/>
        </w:rPr>
        <w:t xml:space="preserve"> performed.</w:t>
      </w:r>
    </w:p>
    <w:p>
      <w:pPr>
        <w:pStyle w:val="BodyText"/>
        <w:numPr>
          <w:ilvl w:val="0"/>
          <w:numId w:val="8"/>
        </w:numPr>
        <w:tabs>
          <w:tab w:val="clear" w:pos="720"/>
          <w:tab w:val="left" w:pos="0" w:leader="none"/>
        </w:tabs>
        <w:ind w:hanging="283" w:left="709"/>
        <w:rPr>
          <w:color w:val="000000"/>
        </w:rPr>
      </w:pPr>
      <w:r>
        <w:rPr>
          <w:color w:val="000000"/>
        </w:rPr>
        <w:t>Emergency Roles Defined: Named personnel are responsible for office/warehouse relocation, system restoration, supplier liaison, and financial continuity.</w:t>
      </w:r>
    </w:p>
    <w:p>
      <w:pPr>
        <w:pStyle w:val="BodyText"/>
        <w:numPr>
          <w:ilvl w:val="0"/>
          <w:numId w:val="8"/>
        </w:numPr>
        <w:tabs>
          <w:tab w:val="clear" w:pos="720"/>
          <w:tab w:val="left" w:pos="0" w:leader="none"/>
        </w:tabs>
        <w:ind w:hanging="283" w:left="709"/>
        <w:rPr>
          <w:color w:val="000000"/>
        </w:rPr>
      </w:pPr>
      <w:r>
        <w:rPr>
          <w:color w:val="000000"/>
        </w:rPr>
        <w:t>Supplier Continuity: Multiple sourcing strategies and priority vendor contacts are in place.</w:t>
      </w:r>
    </w:p>
    <w:p>
      <w:pPr>
        <w:pStyle w:val="BodyText"/>
        <w:numPr>
          <w:ilvl w:val="0"/>
          <w:numId w:val="0"/>
        </w:numPr>
        <w:ind w:hanging="0" w:left="0"/>
        <w:rPr>
          <w:color w:val="000000"/>
        </w:rPr>
      </w:pPr>
      <w:r>
        <w:rPr>
          <w:color w:val="000000"/>
        </w:rPr>
      </w:r>
    </w:p>
    <w:p>
      <w:pPr>
        <w:pStyle w:val="HorizontalLine"/>
        <w:rPr>
          <w:color w:val="000000"/>
        </w:rPr>
      </w:pPr>
      <w:r>
        <w:rPr>
          <w:color w:val="000000"/>
        </w:rPr>
      </w:r>
    </w:p>
    <w:p>
      <w:pPr>
        <w:pStyle w:val="Heading3"/>
        <w:spacing w:before="200" w:after="283"/>
        <w:rPr>
          <w:color w:val="000000"/>
        </w:rPr>
      </w:pPr>
      <w:r>
        <w:rPr>
          <w:color w:val="000000"/>
        </w:rPr>
      </w:r>
    </w:p>
    <w:p>
      <w:pPr>
        <w:pStyle w:val="Heading3"/>
        <w:spacing w:before="200" w:after="283"/>
        <w:rPr>
          <w:color w:val="000000"/>
        </w:rPr>
      </w:pPr>
      <w:r>
        <w:rPr>
          <w:color w:val="000000"/>
        </w:rPr>
      </w:r>
    </w:p>
    <w:p>
      <w:pPr>
        <w:pStyle w:val="Heading3"/>
        <w:spacing w:before="200" w:after="283"/>
        <w:rPr>
          <w:color w:val="000000"/>
        </w:rPr>
      </w:pPr>
      <w:r>
        <w:rPr>
          <w:color w:val="000000"/>
        </w:rPr>
        <w:t>3. Business Continuity in Action</w:t>
      </w:r>
    </w:p>
    <w:p>
      <w:pPr>
        <w:pStyle w:val="BodyText"/>
        <w:rPr>
          <w:color w:val="000000"/>
        </w:rPr>
      </w:pPr>
      <w:r>
        <w:rPr>
          <w:color w:val="000000"/>
        </w:rPr>
        <w:t>Our response model is structured across defined timeframes:</w:t>
      </w:r>
    </w:p>
    <w:p>
      <w:pPr>
        <w:pStyle w:val="BodyText"/>
        <w:numPr>
          <w:ilvl w:val="0"/>
          <w:numId w:val="9"/>
        </w:numPr>
        <w:tabs>
          <w:tab w:val="clear" w:pos="720"/>
          <w:tab w:val="left" w:pos="0" w:leader="none"/>
        </w:tabs>
        <w:ind w:hanging="283" w:left="709"/>
        <w:rPr>
          <w:color w:val="000000"/>
        </w:rPr>
      </w:pPr>
      <w:r>
        <w:rPr>
          <w:color w:val="000000"/>
        </w:rPr>
        <w:t>Immediate (0–4 hours): Initiate emergency communication, redirect telephon</w:t>
      </w:r>
      <w:r>
        <w:rPr>
          <w:color w:val="000000"/>
        </w:rPr>
        <w:t>es</w:t>
      </w:r>
      <w:r>
        <w:rPr>
          <w:color w:val="000000"/>
        </w:rPr>
        <w:t>, and begin IT restoration.</w:t>
      </w:r>
    </w:p>
    <w:p>
      <w:pPr>
        <w:pStyle w:val="BodyText"/>
        <w:numPr>
          <w:ilvl w:val="0"/>
          <w:numId w:val="9"/>
        </w:numPr>
        <w:tabs>
          <w:tab w:val="clear" w:pos="720"/>
          <w:tab w:val="left" w:pos="0" w:leader="none"/>
        </w:tabs>
        <w:ind w:hanging="283" w:left="709"/>
        <w:rPr>
          <w:color w:val="000000"/>
        </w:rPr>
      </w:pPr>
      <w:r>
        <w:rPr>
          <w:color w:val="000000"/>
        </w:rPr>
        <w:t>Short-Term (0–24 hours): Restore core office and warehouse functions, confirm digital system continuity.</w:t>
      </w:r>
    </w:p>
    <w:p>
      <w:pPr>
        <w:pStyle w:val="BodyText"/>
        <w:numPr>
          <w:ilvl w:val="0"/>
          <w:numId w:val="9"/>
        </w:numPr>
        <w:tabs>
          <w:tab w:val="clear" w:pos="720"/>
          <w:tab w:val="left" w:pos="0" w:leader="none"/>
        </w:tabs>
        <w:ind w:hanging="283" w:left="709"/>
        <w:rPr>
          <w:color w:val="000000"/>
        </w:rPr>
      </w:pPr>
      <w:r>
        <w:rPr>
          <w:color w:val="000000"/>
        </w:rPr>
        <w:t>Medium-Term (1–3 days): Resume full warehouse logistics, restore financial systems, and notify stakeholders.</w:t>
      </w:r>
    </w:p>
    <w:p>
      <w:pPr>
        <w:pStyle w:val="HorizontalLine"/>
        <w:rPr>
          <w:color w:val="000000"/>
        </w:rPr>
      </w:pPr>
      <w:r>
        <w:rPr>
          <w:color w:val="000000"/>
        </w:rPr>
      </w:r>
    </w:p>
    <w:p>
      <w:pPr>
        <w:pStyle w:val="Heading3"/>
        <w:spacing w:before="200" w:after="283"/>
        <w:rPr>
          <w:color w:val="000000"/>
        </w:rPr>
      </w:pPr>
      <w:r>
        <w:rPr>
          <w:color w:val="000000"/>
        </w:rPr>
        <w:t>4. Continuous Improvement &amp; Compliance</w:t>
      </w:r>
    </w:p>
    <w:p>
      <w:pPr>
        <w:pStyle w:val="BodyText"/>
        <w:numPr>
          <w:ilvl w:val="0"/>
          <w:numId w:val="10"/>
        </w:numPr>
        <w:tabs>
          <w:tab w:val="clear" w:pos="720"/>
          <w:tab w:val="left" w:pos="0" w:leader="none"/>
        </w:tabs>
        <w:ind w:hanging="283" w:left="709"/>
        <w:rPr>
          <w:color w:val="000000"/>
        </w:rPr>
      </w:pPr>
      <w:r>
        <w:rPr>
          <w:color w:val="000000"/>
        </w:rPr>
        <w:t>Regular reviews, drills, and updates ensure our continuity plan remains effective.</w:t>
      </w:r>
    </w:p>
    <w:p>
      <w:pPr>
        <w:pStyle w:val="BodyText"/>
        <w:numPr>
          <w:ilvl w:val="0"/>
          <w:numId w:val="10"/>
        </w:numPr>
        <w:tabs>
          <w:tab w:val="clear" w:pos="720"/>
          <w:tab w:val="left" w:pos="0" w:leader="none"/>
        </w:tabs>
        <w:ind w:hanging="283" w:left="709"/>
        <w:rPr>
          <w:color w:val="000000"/>
        </w:rPr>
      </w:pPr>
      <w:r>
        <w:rPr>
          <w:color w:val="000000"/>
        </w:rPr>
        <w:t>All recovery measures align with UK GDPR, the Data Protection Act 2018, and ISO 13485 principles.</w:t>
      </w:r>
    </w:p>
    <w:p>
      <w:pPr>
        <w:pStyle w:val="HorizontalLine"/>
        <w:rPr>
          <w:color w:val="000000"/>
        </w:rPr>
      </w:pPr>
      <w:r>
        <w:rPr>
          <w:color w:val="000000"/>
        </w:rPr>
      </w:r>
    </w:p>
    <w:p>
      <w:pPr>
        <w:pStyle w:val="Heading3"/>
        <w:spacing w:before="200" w:after="283"/>
        <w:rPr>
          <w:color w:val="000000"/>
        </w:rPr>
      </w:pPr>
      <w:r>
        <w:rPr>
          <w:color w:val="000000"/>
        </w:rPr>
        <w:t>5. Supporting Documentation Available Upon Request</w:t>
      </w:r>
    </w:p>
    <w:p>
      <w:pPr>
        <w:pStyle w:val="BodyText"/>
        <w:numPr>
          <w:ilvl w:val="0"/>
          <w:numId w:val="11"/>
        </w:numPr>
        <w:tabs>
          <w:tab w:val="clear" w:pos="720"/>
          <w:tab w:val="left" w:pos="0" w:leader="none"/>
        </w:tabs>
        <w:ind w:hanging="283" w:left="709"/>
        <w:rPr>
          <w:color w:val="000000"/>
        </w:rPr>
      </w:pPr>
      <w:r>
        <w:rPr>
          <w:color w:val="000000"/>
        </w:rPr>
        <w:t>Business Continuity &amp; Disaster Recovery Plan (VM3COP60.04)</w:t>
      </w:r>
    </w:p>
    <w:p>
      <w:pPr>
        <w:pStyle w:val="BodyText"/>
        <w:numPr>
          <w:ilvl w:val="0"/>
          <w:numId w:val="11"/>
        </w:numPr>
        <w:tabs>
          <w:tab w:val="clear" w:pos="720"/>
          <w:tab w:val="left" w:pos="0" w:leader="none"/>
        </w:tabs>
        <w:ind w:hanging="283" w:left="709"/>
        <w:rPr>
          <w:color w:val="000000"/>
        </w:rPr>
      </w:pPr>
      <w:r>
        <w:rPr>
          <w:color w:val="000000"/>
        </w:rPr>
        <w:t>Risk Assessments &amp; IT Backup Policy</w:t>
      </w:r>
    </w:p>
    <w:p>
      <w:pPr>
        <w:pStyle w:val="BodyText"/>
        <w:numPr>
          <w:ilvl w:val="0"/>
          <w:numId w:val="11"/>
        </w:numPr>
        <w:tabs>
          <w:tab w:val="clear" w:pos="720"/>
          <w:tab w:val="left" w:pos="0" w:leader="none"/>
        </w:tabs>
        <w:ind w:hanging="283" w:left="709"/>
        <w:rPr>
          <w:color w:val="000000"/>
        </w:rPr>
      </w:pPr>
      <w:r>
        <w:rPr>
          <w:color w:val="000000"/>
        </w:rPr>
        <w:t>Key Supplier and Insurance Details</w:t>
      </w:r>
    </w:p>
    <w:p>
      <w:pPr>
        <w:pStyle w:val="BodyText"/>
        <w:numPr>
          <w:ilvl w:val="0"/>
          <w:numId w:val="11"/>
        </w:numPr>
        <w:tabs>
          <w:tab w:val="clear" w:pos="720"/>
          <w:tab w:val="left" w:pos="0" w:leader="none"/>
        </w:tabs>
        <w:ind w:hanging="283" w:left="709"/>
        <w:rPr>
          <w:color w:val="000000"/>
        </w:rPr>
      </w:pPr>
      <w:r>
        <w:rPr>
          <w:color w:val="000000"/>
        </w:rPr>
        <w:t>Training Records &amp; Post-Recovery Reviews</w:t>
      </w:r>
    </w:p>
    <w:p>
      <w:pPr>
        <w:pStyle w:val="HorizontalLine"/>
        <w:rPr>
          <w:color w:val="000000"/>
        </w:rPr>
      </w:pPr>
      <w:r>
        <w:rPr>
          <w:color w:val="000000"/>
        </w:rPr>
      </w:r>
    </w:p>
    <w:p>
      <w:pPr>
        <w:pStyle w:val="BodyText"/>
        <w:rPr>
          <w:color w:val="000000"/>
        </w:rPr>
      </w:pPr>
      <w:r>
        <w:rPr>
          <w:color w:val="000000"/>
        </w:rPr>
        <w:t>For more information or to request supporting documents, please contact: compliance@viamed.co.uk</w:t>
      </w:r>
    </w:p>
    <w:p>
      <w:pPr>
        <w:pStyle w:val="Normal"/>
        <w:spacing w:before="0" w:after="200"/>
        <w:rPr>
          <w:color w:val="000000"/>
        </w:rPr>
      </w:pPr>
      <w:r>
        <w:rPr>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libri" w:hAnsi="Calibri" w:eastAsia="ＭＳ 明朝" w:cs="" w:cstheme="minorBidi" w:eastAsiaTheme="minorEastAsia"/>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Caption1">
    <w:name w:val="caption1"/>
    <w:basedOn w:val="Normal"/>
    <w:next w:val="Normal"/>
    <w:uiPriority w:val="35"/>
    <w:semiHidden/>
    <w:unhideWhenUsed/>
    <w:qFormat/>
    <w:rsid w:val="00fc693f"/>
    <w:pPr>
      <w:spacing w:lineRule="auto" w:line="240"/>
    </w:pPr>
    <w:rPr>
      <w:b/>
      <w:bCs/>
      <w:color w:themeColor="accent1" w:val="4F81BD"/>
      <w:sz w:val="18"/>
      <w:szCs w:val="18"/>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LibreOffice/7.6.2.1$Windows_X86_64 LibreOffice_project/56f7684011345957bbf33a7ee678afaf4d2ba333</Application>
  <AppVersion>15.0000</AppVersion>
  <Pages>2</Pages>
  <Words>305</Words>
  <Characters>1952</Characters>
  <CharactersWithSpaces>2209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2025-07-29T10:37:10Z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