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Viamed Ltd Carbon Emissions Report 2024</w:t>
      </w:r>
    </w:p>
    <w:p>
      <w:r>
        <w:t>Company Name: Viamed Ltd</w:t>
      </w:r>
    </w:p>
    <w:p>
      <w:r>
        <w:t>Date: 27th May 2025</w:t>
      </w:r>
    </w:p>
    <w:p>
      <w:pPr>
        <w:pStyle w:val="Heading2"/>
      </w:pPr>
      <w:r>
        <w:t>Executive Summary:</w:t>
      </w:r>
    </w:p>
    <w:p>
      <w:r>
        <w:t>This report details the carbon emissions of Viamed Ltd for the fiscal year 2024. The assessment includes emissions from Scope 1, Scope 2, and Scope 3 sources, providing a comprehensive overview of the company's environmental impact.</w:t>
      </w:r>
    </w:p>
    <w:p>
      <w:pPr>
        <w:pStyle w:val="Heading2"/>
      </w:pPr>
      <w:r>
        <w:t>1. Scope 1 Emissions:</w:t>
      </w:r>
    </w:p>
    <w:p>
      <w:r>
        <w:t>Scope 1 emissions for Viamed Ltd are primarily associated with facility operations and the use of bottled gases for testing oxygen sensors and medical equipment. As our company does not own company cars or produce its own energy, Scope 1 emissions are minimal.</w:t>
      </w:r>
    </w:p>
    <w:p>
      <w:r>
        <w:t>Scope 1 Emissions Breakdown:</w:t>
        <w:br/>
        <w:br/>
        <w:t>• Facility Operations: Bottled gas use.</w:t>
        <w:br/>
        <w:br/>
        <w:t>Total Scope 1 Emissions: We estimate a carbon footprint of **0.06 tonnes CO₂e**.</w:t>
      </w:r>
    </w:p>
    <w:p>
      <w:pPr>
        <w:pStyle w:val="Heading2"/>
      </w:pPr>
      <w:r>
        <w:t>2. Scope 2 Emissions:</w:t>
      </w:r>
    </w:p>
    <w:p>
      <w:r>
        <w:t>Scope 2 emissions encompass indirect greenhouse gas emissions associated with the purchase of electricity and gas. These emissions result from the generation of the purchased energy.</w:t>
      </w:r>
    </w:p>
    <w:p>
      <w:r>
        <w:t>Scope 2 Emissions Breakdown:</w:t>
        <w:br/>
        <w:br/>
        <w:t>• Electricity Consumption: 12,590.1 kWh annually (2024). Approximate carbon footprint: **1.47 tonnes CO₂e**.</w:t>
        <w:br/>
        <w:t>• Gas Consumption: 40,739.2 kWh annually (2024). Approximate carbon footprint: **7.46 tonnes CO₂e**.</w:t>
        <w:br/>
        <w:br/>
        <w:t>Total Scope 2 Emissions: **8.93 tonnes CO₂e**.</w:t>
      </w:r>
    </w:p>
    <w:p>
      <w:r>
        <w:t>Mitigation Strategy for Scope 2 Emissions:</w:t>
        <w:br/>
        <w:br/>
        <w:t>Viamed Ltd sources most of its electricity from renewable sources and continues working toward 100% renewable energy by 2030. Operational efficiencies and reduced engineer travel (via back-to-base servicing and use of UPS couriers with net zero commitments) are additional mitigation efforts.</w:t>
      </w:r>
    </w:p>
    <w:p>
      <w:pPr>
        <w:pStyle w:val="Heading2"/>
      </w:pPr>
      <w:r>
        <w:t>3. Scope 3 Emissions:</w:t>
      </w:r>
    </w:p>
    <w:p>
      <w:r>
        <w:t>Scope 3 emissions include all other indirect emissions that occur in the value chain of the company, both upstream and downstream. These are emissions not directly controlled by Viamed Ltd but are still a result of our business activities.</w:t>
      </w:r>
    </w:p>
    <w:p>
      <w:r>
        <w:t>Scope 3 Emissions Categories:</w:t>
        <w:br/>
        <w:br/>
        <w:t>• Purchased Goods and Services</w:t>
        <w:br/>
        <w:t>• Capital Goods</w:t>
        <w:br/>
        <w:t>• Business Travel</w:t>
        <w:br/>
        <w:t>• Employee Commuting</w:t>
        <w:br/>
        <w:t>• Waste Generated in Operations</w:t>
        <w:br/>
        <w:t>• Upstream Transportation and Distribution</w:t>
        <w:br/>
        <w:t>• Downstream Transportation and Distribution</w:t>
        <w:br/>
        <w:t>• Processing of Sold Products</w:t>
        <w:br/>
        <w:t>• Use of Sold Products</w:t>
        <w:br/>
        <w:t>• End-of-Life Treatment of Sold Products</w:t>
        <w:br/>
        <w:br/>
        <w:t>Total Scope 3 Emissions: Estimated at **32.0 tonnes CO₂e**, in line with previous year reporting boundaries.</w:t>
      </w:r>
    </w:p>
    <w:p>
      <w:pPr>
        <w:pStyle w:val="Heading2"/>
      </w:pPr>
      <w:r>
        <w:t>4. Summary of Total Carbon Emissions:</w:t>
      </w:r>
    </w:p>
    <w:p>
      <w:r>
        <w:t>Total Carbon Emissions for Viamed Ltd in 2024: **41.00 tonnes CO₂e**</w:t>
      </w:r>
    </w:p>
    <w:p>
      <w:pPr>
        <w:pStyle w:val="Heading2"/>
      </w:pPr>
      <w:r>
        <w:t>5. Year-on-Year Comparison (2023 vs 2024):</w:t>
      </w:r>
    </w:p>
    <w:tbl>
      <w:tblPr>
        <w:tblStyle w:val="TableGrid"/>
        <w:tblW w:type="auto" w:w="0"/>
        <w:tblLook w:firstColumn="1" w:firstRow="1" w:lastColumn="0" w:lastRow="0" w:noHBand="0" w:noVBand="1" w:val="04A0"/>
      </w:tblPr>
      <w:tblGrid>
        <w:gridCol w:w="2880"/>
        <w:gridCol w:w="2880"/>
        <w:gridCol w:w="2880"/>
      </w:tblGrid>
      <w:tr>
        <w:tc>
          <w:tcPr>
            <w:tcW w:type="dxa" w:w="2880"/>
          </w:tcPr>
          <w:p>
            <w:r>
              <w:t>Scope</w:t>
            </w:r>
          </w:p>
        </w:tc>
        <w:tc>
          <w:tcPr>
            <w:tcW w:type="dxa" w:w="2880"/>
          </w:tcPr>
          <w:p>
            <w:r>
              <w:t>2023 (tonnes CO₂e)</w:t>
            </w:r>
          </w:p>
        </w:tc>
        <w:tc>
          <w:tcPr>
            <w:tcW w:type="dxa" w:w="2880"/>
          </w:tcPr>
          <w:p>
            <w:r>
              <w:t>2024 (tonnes CO₂e)</w:t>
            </w:r>
          </w:p>
        </w:tc>
      </w:tr>
      <w:tr>
        <w:tc>
          <w:tcPr>
            <w:tcW w:type="dxa" w:w="2880"/>
          </w:tcPr>
          <w:p>
            <w:r>
              <w:t>Scope 1</w:t>
            </w:r>
          </w:p>
        </w:tc>
        <w:tc>
          <w:tcPr>
            <w:tcW w:type="dxa" w:w="2880"/>
          </w:tcPr>
          <w:p>
            <w:r>
              <w:t>0.06</w:t>
            </w:r>
          </w:p>
        </w:tc>
        <w:tc>
          <w:tcPr>
            <w:tcW w:type="dxa" w:w="2880"/>
          </w:tcPr>
          <w:p>
            <w:r>
              <w:t>0.06</w:t>
            </w:r>
          </w:p>
        </w:tc>
      </w:tr>
      <w:tr>
        <w:tc>
          <w:tcPr>
            <w:tcW w:type="dxa" w:w="2880"/>
          </w:tcPr>
          <w:p>
            <w:r>
              <w:t>Scope 2</w:t>
            </w:r>
          </w:p>
        </w:tc>
        <w:tc>
          <w:tcPr>
            <w:tcW w:type="dxa" w:w="2880"/>
          </w:tcPr>
          <w:p>
            <w:r>
              <w:t>16.73</w:t>
            </w:r>
          </w:p>
        </w:tc>
        <w:tc>
          <w:tcPr>
            <w:tcW w:type="dxa" w:w="2880"/>
          </w:tcPr>
          <w:p>
            <w:r>
              <w:t>8.93</w:t>
            </w:r>
          </w:p>
        </w:tc>
      </w:tr>
      <w:tr>
        <w:tc>
          <w:tcPr>
            <w:tcW w:type="dxa" w:w="2880"/>
          </w:tcPr>
          <w:p>
            <w:r>
              <w:t>Scope 3</w:t>
            </w:r>
          </w:p>
        </w:tc>
        <w:tc>
          <w:tcPr>
            <w:tcW w:type="dxa" w:w="2880"/>
          </w:tcPr>
          <w:p>
            <w:r>
              <w:t>32.00</w:t>
            </w:r>
          </w:p>
        </w:tc>
        <w:tc>
          <w:tcPr>
            <w:tcW w:type="dxa" w:w="2880"/>
          </w:tcPr>
          <w:p>
            <w:r>
              <w:t>32.00</w:t>
            </w:r>
          </w:p>
        </w:tc>
      </w:tr>
      <w:tr>
        <w:tc>
          <w:tcPr>
            <w:tcW w:type="dxa" w:w="2880"/>
          </w:tcPr>
          <w:p>
            <w:r>
              <w:t>Total</w:t>
            </w:r>
          </w:p>
        </w:tc>
        <w:tc>
          <w:tcPr>
            <w:tcW w:type="dxa" w:w="2880"/>
          </w:tcPr>
          <w:p>
            <w:r>
              <w:t>48.79</w:t>
            </w:r>
          </w:p>
        </w:tc>
        <w:tc>
          <w:tcPr>
            <w:tcW w:type="dxa" w:w="2880"/>
          </w:tcPr>
          <w:p>
            <w:r>
              <w:t>41.00</w:t>
            </w:r>
          </w:p>
        </w:tc>
      </w:tr>
    </w:tbl>
    <w:p>
      <w:pPr>
        <w:pStyle w:val="Heading2"/>
      </w:pPr>
      <w:r>
        <w:t>Monitoring and Reporting:</w:t>
      </w:r>
    </w:p>
    <w:p>
      <w:r>
        <w:t>Viamed Ltd is committed to establishing comprehensive monitoring and reporting mechanisms to track emissions across all scopes. Regular assessments inform reduction strategies and support accountability and transparency, particularly in alignment with NHS and SECR reporting frameworks.</w:t>
      </w:r>
    </w:p>
    <w:p>
      <w:pPr>
        <w:pStyle w:val="Heading2"/>
      </w:pPr>
      <w:r>
        <w:t>Conclusion:</w:t>
      </w:r>
    </w:p>
    <w:p>
      <w:r>
        <w:t>By addressing carbon emissions across all operational areas and implementing targeted reduction strategies, Viamed Ltd continues to demonstrate leadership in environmental responsibility and support for national Net Zero goals.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