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Emissions Report</w:t>
        <w:br/>
        <w:t>Viamed Ltd.</w:t>
        <w:br/>
        <w:t>1 Jan 2024 – 31 Dec 2024</w:t>
      </w:r>
    </w:p>
    <w:p>
      <w:pPr>
        <w:pStyle w:val="Heading2"/>
      </w:pPr>
      <w:r>
        <w:t>Estimated total emissions</w:t>
      </w:r>
    </w:p>
    <w:p>
      <w:r>
        <w:t>Total: 41.0 tonnes CO₂e</w:t>
      </w:r>
    </w:p>
    <w:p>
      <w:r>
        <w:t>Country: United Kingdom of Great Britain and Northern Ireland</w:t>
      </w:r>
    </w:p>
    <w:p>
      <w:r>
        <w:t>Sector: Medical Equipment Manufacturing</w:t>
      </w:r>
    </w:p>
    <w:p>
      <w:pPr>
        <w:pStyle w:val="Heading2"/>
      </w:pPr>
      <w:r>
        <w:t>Scope 1</w:t>
      </w:r>
    </w:p>
    <w:p>
      <w:r>
        <w:t>Fuel combustion – 100% of Scope 1</w:t>
        <w:br/>
        <w:t>Emissions: 0.06 tonnes CO₂e</w:t>
      </w:r>
    </w:p>
    <w:p>
      <w:pPr>
        <w:pStyle w:val="Heading2"/>
      </w:pPr>
      <w:r>
        <w:t>Scope 2</w:t>
      </w:r>
    </w:p>
    <w:p>
      <w:r>
        <w:t>Electricity and Gas – 100% of Scope 2</w:t>
        <w:br/>
        <w:t>Emissions: 8.93 tonnes CO₂e</w:t>
      </w:r>
    </w:p>
    <w:p>
      <w:pPr>
        <w:pStyle w:val="Heading2"/>
      </w:pPr>
      <w:r>
        <w:t>Scope 3</w:t>
      </w:r>
    </w:p>
    <w:p>
      <w:r>
        <w:t>Estimated activities:</w:t>
        <w:br/>
        <w:t>- Business travel</w:t>
        <w:br/>
        <w:t>- Transportation and distribution</w:t>
        <w:br/>
        <w:t>- Purchased goods and services</w:t>
        <w:br/>
        <w:t>- Capital goods</w:t>
        <w:br/>
        <w:t>Emissions: 32.0 tonnes CO₂e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