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Right to Restrict Processing</w:t>
      </w:r>
    </w:p>
    <w:p>
      <w:r>
        <w:br/>
        <w:t xml:space="preserve">        **Updated GDPR - Right to Restrict Processing Policy** (March 2025)</w:t>
        <w:br/>
        <w:br/>
        <w:t xml:space="preserve">        - Individuals can request to restrict processing in **specific circumstances**.</w:t>
        <w:br/>
        <w:t xml:space="preserve">        - Processing must be restricted if data accuracy is disputed.</w:t>
        <w:br/>
        <w:t xml:space="preserve">        - Restricted data **cannot be processed** but can still be stored securely.</w:t>
        <w:br/>
        <w:t xml:space="preserve">        - If processing restrictions are lifted, individuals must be notified.</w:t>
        <w:br/>
        <w:t xml:space="preserve">        - All restriction requests must be logged and processed **within one month**.</w:t>
        <w:br/>
        <w:br/>
        <w:t xml:space="preserve">        **Updated for UK GDPR Compliance (March 2025).**</w:t>
        <w:br/>
        <w:t xml:space="preserve">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