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The Right to Rectification</w:t>
      </w:r>
    </w:p>
    <w:p>
      <w:r>
        <w:br/>
        <w:t xml:space="preserve">        **Updated GDPR - The Right to Rectification Policy** (March 2025)</w:t>
        <w:br/>
        <w:br/>
        <w:t xml:space="preserve">        - Individuals can request **corrections** to inaccurate personal data.</w:t>
        <w:br/>
        <w:t xml:space="preserve">        - Companies must verify the accuracy of data before making changes.</w:t>
        <w:br/>
        <w:t xml:space="preserve">        - Requests must be responded to **within one month**.</w:t>
        <w:br/>
        <w:t xml:space="preserve">        - If rectified data has been shared, all recipients must be informed.</w:t>
        <w:br/>
        <w:t xml:space="preserve">        - If the company refuses rectification, a written explanation is required.</w:t>
        <w:br/>
        <w:br/>
        <w:t xml:space="preserve">        **Updated for UK GDPR Compliance (March 2025).**</w:t>
        <w:br/>
        <w:t xml:space="preserve">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