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GDPR - Right of Access (Subject Access Requests)</w:t>
      </w:r>
    </w:p>
    <w:p>
      <w:r>
        <w:br/>
        <w:t xml:space="preserve">        **Updated GDPR - Subject Access Request (SAR) Policy** (March 2025)</w:t>
        <w:br/>
        <w:br/>
        <w:t xml:space="preserve">        - Individuals have the right to access **their personal data**.</w:t>
        <w:br/>
        <w:t xml:space="preserve">        - SARs must be acknowledged and responded to **within one month**.</w:t>
        <w:br/>
        <w:t xml:space="preserve">        - Verification of identity is required before processing a request.</w:t>
        <w:br/>
        <w:t xml:space="preserve">        - If a SAR is excessive or unfounded, companies may **refuse or charge a fee**.</w:t>
        <w:br/>
        <w:t xml:space="preserve">        - Companies must maintain **logs of all SARs and responses**.</w:t>
        <w:br/>
        <w:t xml:space="preserve">        - If data contains third-party information, redactions may be required.</w:t>
        <w:br/>
        <w:br/>
        <w:t xml:space="preserve">        **Updated for UK GDPR Compliance (March 2025).**</w:t>
        <w:br/>
        <w:t xml:space="preserve">      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