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The Right to Object</w:t>
      </w:r>
    </w:p>
    <w:p>
      <w:r>
        <w:br/>
        <w:t xml:space="preserve">        **Updated GDPR - The Right to Object Policy** (March 2025)</w:t>
        <w:br/>
        <w:t xml:space="preserve">        </w:t>
        <w:br/>
        <w:t xml:space="preserve">        - Individuals have an **absolute right** to object to direct marketing.</w:t>
        <w:br/>
        <w:t xml:space="preserve">        - Objections to processing must be logged and responded to **within one month**.</w:t>
        <w:br/>
        <w:t xml:space="preserve">        - When refusing an objection, clear justification must be provided.</w:t>
        <w:br/>
        <w:t xml:space="preserve">        - If the objection is valid, processing must **immediately cease**.</w:t>
        <w:br/>
        <w:t xml:space="preserve">        - Companies must provide **easy opt-out mechanisms** for marketing.</w:t>
        <w:br/>
        <w:t xml:space="preserve">        - Complaints can be raised with the **ICO** if concerns are not addressed.</w:t>
        <w:br/>
        <w:br/>
        <w:t xml:space="preserve">        **Updated for UK GDPR Compliance (March 2025).**</w:t>
        <w:br/>
        <w:t xml:space="preserve">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