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LO-normal"/>
        <w:spacing w:lineRule="auto" w:line="240" w:before="200" w:after="0"/>
        <w:rPr/>
      </w:pPr>
      <w:r>
        <w:rPr/>
      </w:r>
    </w:p>
    <w:p>
      <w:pPr>
        <w:pStyle w:val="BodyText"/>
        <w:ind w:hanging="0" w:left="0"/>
        <w:rPr>
          <w:sz w:val="24"/>
          <w:szCs w:val="24"/>
        </w:rPr>
      </w:pPr>
      <w:r>
        <w:rPr>
          <w:rStyle w:val="Strong"/>
        </w:rPr>
        <w:t>Last Updated: March 2025</w:t>
      </w:r>
    </w:p>
    <w:p>
      <w:pPr>
        <w:pStyle w:val="BodyText"/>
        <w:rPr/>
      </w:pPr>
      <w:r>
        <w:rPr/>
        <w:t xml:space="preserve">This privacy policy outlines how </w:t>
      </w:r>
      <w:r>
        <w:rPr>
          <w:rStyle w:val="Strong"/>
        </w:rPr>
        <w:t>Viamed Ltd, Vandagraph Ltd, Vandagraph Sensor Technologies Ltd, and Viamed Properties Ltd</w:t>
      </w:r>
      <w:r>
        <w:rPr/>
        <w:t xml:space="preserve"> ("Viamed Group of Companies") collect, use, and protect personal data in compliance with the UK General Data Protection Regulation (UK GDPR).</w:t>
      </w:r>
    </w:p>
    <w:p>
      <w:pPr>
        <w:pStyle w:val="HorizontalLine"/>
        <w:rPr/>
      </w:pPr>
      <w:r>
        <w:rPr/>
      </w:r>
    </w:p>
    <w:p>
      <w:pPr>
        <w:pStyle w:val="Heading3"/>
        <w:rPr/>
      </w:pPr>
      <w:r>
        <w:rPr>
          <w:rStyle w:val="Strong"/>
        </w:rPr>
        <w:t>1. Definitions</w:t>
      </w:r>
    </w:p>
    <w:p>
      <w:pPr>
        <w:pStyle w:val="BodyText"/>
        <w:numPr>
          <w:ilvl w:val="0"/>
          <w:numId w:val="1"/>
        </w:numPr>
        <w:tabs>
          <w:tab w:val="clear" w:pos="720"/>
          <w:tab w:val="left" w:pos="0" w:leader="none"/>
        </w:tabs>
        <w:ind w:hanging="283" w:left="709"/>
        <w:rPr/>
      </w:pPr>
      <w:r>
        <w:rPr>
          <w:rStyle w:val="Strong"/>
        </w:rPr>
        <w:t>Data Controller</w:t>
      </w:r>
      <w:r>
        <w:rPr/>
        <w:t>: Viamed Group of Companies determines the purposes and means of processing personal data.</w:t>
      </w:r>
    </w:p>
    <w:p>
      <w:pPr>
        <w:pStyle w:val="BodyText"/>
        <w:numPr>
          <w:ilvl w:val="0"/>
          <w:numId w:val="1"/>
        </w:numPr>
        <w:tabs>
          <w:tab w:val="clear" w:pos="720"/>
          <w:tab w:val="left" w:pos="0" w:leader="none"/>
        </w:tabs>
        <w:ind w:hanging="283" w:left="709"/>
        <w:rPr/>
      </w:pPr>
      <w:r>
        <w:rPr>
          <w:rStyle w:val="Strong"/>
        </w:rPr>
        <w:t>Data Processor</w:t>
      </w:r>
      <w:r>
        <w:rPr/>
        <w:t>: A third party that processes data on behalf of Viamed Group of Companies.</w:t>
      </w:r>
    </w:p>
    <w:p>
      <w:pPr>
        <w:pStyle w:val="BodyText"/>
        <w:numPr>
          <w:ilvl w:val="0"/>
          <w:numId w:val="1"/>
        </w:numPr>
        <w:tabs>
          <w:tab w:val="clear" w:pos="720"/>
          <w:tab w:val="left" w:pos="0" w:leader="none"/>
        </w:tabs>
        <w:ind w:hanging="283" w:left="709"/>
        <w:rPr/>
      </w:pPr>
      <w:r>
        <w:rPr>
          <w:rStyle w:val="Strong"/>
        </w:rPr>
        <w:t>Data Subject</w:t>
      </w:r>
      <w:r>
        <w:rPr/>
        <w:t>: Any individual whose personal data is processed.</w:t>
      </w:r>
    </w:p>
    <w:p>
      <w:pPr>
        <w:pStyle w:val="HorizontalLine"/>
        <w:rPr/>
      </w:pPr>
      <w:r>
        <w:rPr/>
      </w:r>
    </w:p>
    <w:p>
      <w:pPr>
        <w:pStyle w:val="Heading3"/>
        <w:rPr/>
      </w:pPr>
      <w:r>
        <w:rPr>
          <w:rStyle w:val="Strong"/>
        </w:rPr>
        <w:t>2. Personal Data We Collect</w:t>
      </w:r>
    </w:p>
    <w:p>
      <w:pPr>
        <w:pStyle w:val="BodyText"/>
        <w:rPr/>
      </w:pPr>
      <w:r>
        <w:rPr/>
        <w:t>We collect and process the following types of personal data: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0" w:leader="none"/>
        </w:tabs>
        <w:ind w:hanging="283" w:left="709"/>
        <w:rPr/>
      </w:pPr>
      <w:r>
        <w:rPr>
          <w:rStyle w:val="Strong"/>
        </w:rPr>
        <w:t>Identity Data</w:t>
      </w:r>
      <w:r>
        <w:rPr/>
        <w:t>: Name, job title, company name.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0" w:leader="none"/>
        </w:tabs>
        <w:ind w:hanging="283" w:left="709"/>
        <w:rPr/>
      </w:pPr>
      <w:r>
        <w:rPr>
          <w:rStyle w:val="Strong"/>
        </w:rPr>
        <w:t>Contact Data</w:t>
      </w:r>
      <w:r>
        <w:rPr/>
        <w:t>: Email address, telephone number, postal address.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0" w:leader="none"/>
        </w:tabs>
        <w:ind w:hanging="283" w:left="709"/>
        <w:rPr/>
      </w:pPr>
      <w:r>
        <w:rPr>
          <w:rStyle w:val="Strong"/>
        </w:rPr>
        <w:t>Transaction Data</w:t>
      </w:r>
      <w:r>
        <w:rPr/>
        <w:t>: Records of orders, invoices, and payments.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0" w:leader="none"/>
        </w:tabs>
        <w:ind w:hanging="283" w:left="709"/>
        <w:rPr/>
      </w:pPr>
      <w:r>
        <w:rPr>
          <w:rStyle w:val="Strong"/>
        </w:rPr>
        <w:t>Technical Data</w:t>
      </w:r>
      <w:r>
        <w:rPr/>
        <w:t>: IP addresses, login data, and website usage information.</w:t>
      </w:r>
    </w:p>
    <w:p>
      <w:pPr>
        <w:pStyle w:val="HorizontalLine"/>
        <w:rPr/>
      </w:pPr>
      <w:r>
        <w:rPr/>
      </w:r>
    </w:p>
    <w:p>
      <w:pPr>
        <w:pStyle w:val="Heading3"/>
        <w:rPr/>
      </w:pPr>
      <w:r>
        <w:rPr>
          <w:rStyle w:val="Strong"/>
        </w:rPr>
        <w:t>3. How We Use Personal Data</w:t>
      </w:r>
    </w:p>
    <w:p>
      <w:pPr>
        <w:pStyle w:val="BodyText"/>
        <w:rPr/>
      </w:pPr>
      <w:r>
        <w:rPr/>
        <w:t>We process personal data for the following purposes: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0" w:leader="none"/>
        </w:tabs>
        <w:ind w:hanging="283" w:left="709"/>
        <w:rPr/>
      </w:pPr>
      <w:r>
        <w:rPr/>
        <w:t>To provide our services and fulfill contractual obligations.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0" w:leader="none"/>
        </w:tabs>
        <w:ind w:hanging="283" w:left="709"/>
        <w:rPr/>
      </w:pPr>
      <w:r>
        <w:rPr/>
        <w:t>To process transactions and maintain business operations.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0" w:leader="none"/>
        </w:tabs>
        <w:ind w:hanging="283" w:left="709"/>
        <w:rPr/>
      </w:pPr>
      <w:r>
        <w:rPr/>
        <w:t>To comply with legal and regulatory requirements.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0" w:leader="none"/>
        </w:tabs>
        <w:ind w:hanging="283" w:left="709"/>
        <w:rPr/>
      </w:pPr>
      <w:r>
        <w:rPr/>
        <w:t>To improve our website, services, and customer experience.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0" w:leader="none"/>
        </w:tabs>
        <w:ind w:hanging="283" w:left="709"/>
        <w:rPr/>
      </w:pPr>
      <w:r>
        <w:rPr/>
        <w:t>For marketing purposes (only where consent has been obtained).</w:t>
      </w:r>
    </w:p>
    <w:p>
      <w:pPr>
        <w:pStyle w:val="HorizontalLine"/>
        <w:rPr/>
      </w:pPr>
      <w:r>
        <w:rPr/>
      </w:r>
    </w:p>
    <w:p>
      <w:pPr>
        <w:pStyle w:val="Heading3"/>
        <w:rPr/>
      </w:pPr>
      <w:r>
        <w:rPr>
          <w:rStyle w:val="Strong"/>
        </w:rPr>
        <w:t>4. Lawful Basis for Processing</w:t>
      </w:r>
    </w:p>
    <w:p>
      <w:pPr>
        <w:pStyle w:val="BodyText"/>
        <w:rPr/>
      </w:pPr>
      <w:r>
        <w:rPr/>
        <w:t>We rely on the following lawful bases for processing personal data:</w:t>
      </w:r>
    </w:p>
    <w:p>
      <w:pPr>
        <w:pStyle w:val="BodyText"/>
        <w:numPr>
          <w:ilvl w:val="0"/>
          <w:numId w:val="4"/>
        </w:numPr>
        <w:tabs>
          <w:tab w:val="clear" w:pos="720"/>
          <w:tab w:val="left" w:pos="0" w:leader="none"/>
        </w:tabs>
        <w:ind w:hanging="283" w:left="709"/>
        <w:rPr/>
      </w:pPr>
      <w:r>
        <w:rPr>
          <w:rStyle w:val="Strong"/>
        </w:rPr>
        <w:t>Contractual Necessity</w:t>
      </w:r>
      <w:r>
        <w:rPr/>
        <w:t>: Processing required to perform our contracts with customers.</w:t>
      </w:r>
    </w:p>
    <w:p>
      <w:pPr>
        <w:pStyle w:val="BodyText"/>
        <w:numPr>
          <w:ilvl w:val="0"/>
          <w:numId w:val="4"/>
        </w:numPr>
        <w:tabs>
          <w:tab w:val="clear" w:pos="720"/>
          <w:tab w:val="left" w:pos="0" w:leader="none"/>
        </w:tabs>
        <w:ind w:hanging="283" w:left="709"/>
        <w:rPr/>
      </w:pPr>
      <w:r>
        <w:rPr>
          <w:rStyle w:val="Strong"/>
        </w:rPr>
        <w:t>Legal Obligation</w:t>
      </w:r>
      <w:r>
        <w:rPr/>
        <w:t>: Compliance with legal and regulatory duties.</w:t>
      </w:r>
    </w:p>
    <w:p>
      <w:pPr>
        <w:pStyle w:val="BodyText"/>
        <w:numPr>
          <w:ilvl w:val="0"/>
          <w:numId w:val="4"/>
        </w:numPr>
        <w:tabs>
          <w:tab w:val="clear" w:pos="720"/>
          <w:tab w:val="left" w:pos="0" w:leader="none"/>
        </w:tabs>
        <w:ind w:hanging="283" w:left="709"/>
        <w:rPr/>
      </w:pPr>
      <w:r>
        <w:rPr>
          <w:rStyle w:val="Strong"/>
        </w:rPr>
        <w:t>Legitimate Interest</w:t>
      </w:r>
      <w:r>
        <w:rPr/>
        <w:t>: Processing necessary for our business operations, balanced against individuals’ rights.</w:t>
      </w:r>
    </w:p>
    <w:p>
      <w:pPr>
        <w:pStyle w:val="BodyText"/>
        <w:numPr>
          <w:ilvl w:val="0"/>
          <w:numId w:val="4"/>
        </w:numPr>
        <w:tabs>
          <w:tab w:val="clear" w:pos="720"/>
          <w:tab w:val="left" w:pos="0" w:leader="none"/>
        </w:tabs>
        <w:ind w:hanging="283" w:left="709"/>
        <w:rPr/>
      </w:pPr>
      <w:r>
        <w:rPr>
          <w:rStyle w:val="Strong"/>
        </w:rPr>
        <w:t>Consent</w:t>
      </w:r>
      <w:r>
        <w:rPr/>
        <w:t>: For direct marketing or non-essential data collection (withdrawal available at any time).</w:t>
      </w:r>
    </w:p>
    <w:p>
      <w:pPr>
        <w:pStyle w:val="HorizontalLine"/>
        <w:rPr/>
      </w:pPr>
      <w:r>
        <w:rPr/>
      </w:r>
    </w:p>
    <w:p>
      <w:pPr>
        <w:pStyle w:val="Heading3"/>
        <w:rPr/>
      </w:pPr>
      <w:r>
        <w:rPr>
          <w:rStyle w:val="Strong"/>
        </w:rPr>
        <w:t>5. Data Retention</w:t>
      </w:r>
    </w:p>
    <w:p>
      <w:pPr>
        <w:pStyle w:val="BodyText"/>
        <w:rPr/>
      </w:pPr>
      <w:r>
        <w:rPr/>
        <w:t>We retain personal data only for as long as necessary:</w:t>
      </w:r>
    </w:p>
    <w:p>
      <w:pPr>
        <w:pStyle w:val="BodyText"/>
        <w:numPr>
          <w:ilvl w:val="0"/>
          <w:numId w:val="5"/>
        </w:numPr>
        <w:tabs>
          <w:tab w:val="clear" w:pos="720"/>
          <w:tab w:val="left" w:pos="0" w:leader="none"/>
        </w:tabs>
        <w:ind w:hanging="283" w:left="709"/>
        <w:rPr/>
      </w:pPr>
      <w:r>
        <w:rPr/>
        <w:t xml:space="preserve">Customer and transaction records: </w:t>
      </w:r>
      <w:r>
        <w:rPr>
          <w:rStyle w:val="Strong"/>
        </w:rPr>
        <w:t>6 years</w:t>
      </w:r>
      <w:r>
        <w:rPr/>
        <w:t xml:space="preserve"> (for legal and tax compliance).</w:t>
      </w:r>
    </w:p>
    <w:p>
      <w:pPr>
        <w:pStyle w:val="BodyText"/>
        <w:numPr>
          <w:ilvl w:val="0"/>
          <w:numId w:val="5"/>
        </w:numPr>
        <w:tabs>
          <w:tab w:val="clear" w:pos="720"/>
          <w:tab w:val="left" w:pos="0" w:leader="none"/>
        </w:tabs>
        <w:ind w:hanging="283" w:left="709"/>
        <w:rPr/>
      </w:pPr>
      <w:r>
        <w:rPr/>
        <w:t xml:space="preserve">Marketing data: </w:t>
      </w:r>
      <w:r>
        <w:rPr>
          <w:rStyle w:val="Strong"/>
        </w:rPr>
        <w:t>Until consent is withdrawn</w:t>
      </w:r>
      <w:r>
        <w:rPr/>
        <w:t>.</w:t>
      </w:r>
    </w:p>
    <w:p>
      <w:pPr>
        <w:pStyle w:val="BodyText"/>
        <w:numPr>
          <w:ilvl w:val="0"/>
          <w:numId w:val="5"/>
        </w:numPr>
        <w:tabs>
          <w:tab w:val="clear" w:pos="720"/>
          <w:tab w:val="left" w:pos="0" w:leader="none"/>
        </w:tabs>
        <w:ind w:hanging="283" w:left="709"/>
        <w:rPr/>
      </w:pPr>
      <w:r>
        <w:rPr/>
        <w:t xml:space="preserve">Job applications: </w:t>
      </w:r>
      <w:r>
        <w:rPr>
          <w:rStyle w:val="Strong"/>
        </w:rPr>
        <w:t>12 months unless agreed otherwise</w:t>
      </w:r>
      <w:r>
        <w:rPr/>
        <w:t>.</w:t>
      </w:r>
    </w:p>
    <w:p>
      <w:pPr>
        <w:pStyle w:val="HorizontalLine"/>
        <w:rPr/>
      </w:pPr>
      <w:r>
        <w:rPr/>
      </w:r>
    </w:p>
    <w:p>
      <w:pPr>
        <w:pStyle w:val="Heading3"/>
        <w:rPr/>
      </w:pPr>
      <w:r>
        <w:rPr>
          <w:rStyle w:val="Strong"/>
        </w:rPr>
        <w:t>6. Data Subject Rights</w:t>
      </w:r>
    </w:p>
    <w:p>
      <w:pPr>
        <w:pStyle w:val="BodyText"/>
        <w:rPr/>
      </w:pPr>
      <w:r>
        <w:rPr/>
        <w:t>Under UK GDPR, individuals have the right to:</w:t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0" w:leader="none"/>
        </w:tabs>
        <w:ind w:hanging="283" w:left="709"/>
        <w:rPr/>
      </w:pPr>
      <w:r>
        <w:rPr/>
        <w:t>Access their personal data.</w:t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0" w:leader="none"/>
        </w:tabs>
        <w:ind w:hanging="283" w:left="709"/>
        <w:rPr/>
      </w:pPr>
      <w:r>
        <w:rPr/>
        <w:t>Rectify incorrect or incomplete data.</w:t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0" w:leader="none"/>
        </w:tabs>
        <w:ind w:hanging="283" w:left="709"/>
        <w:rPr/>
      </w:pPr>
      <w:r>
        <w:rPr/>
        <w:t>Request erasure of data where applicable.</w:t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0" w:leader="none"/>
        </w:tabs>
        <w:ind w:hanging="283" w:left="709"/>
        <w:rPr/>
      </w:pPr>
      <w:r>
        <w:rPr/>
        <w:t>Restrict or object to processing in certain circumstances.</w:t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0" w:leader="none"/>
        </w:tabs>
        <w:ind w:hanging="283" w:left="709"/>
        <w:rPr/>
      </w:pPr>
      <w:r>
        <w:rPr/>
        <w:t>Request data portability (where applicable).</w:t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0" w:leader="none"/>
        </w:tabs>
        <w:ind w:hanging="283" w:left="709"/>
        <w:rPr/>
      </w:pPr>
      <w:r>
        <w:rPr/>
        <w:t>Withdraw consent for marketing communications.</w:t>
      </w:r>
    </w:p>
    <w:p>
      <w:pPr>
        <w:pStyle w:val="BodyText"/>
        <w:rPr/>
      </w:pPr>
      <w:r>
        <w:rPr/>
        <w:t xml:space="preserve">To exercise these rights, contact </w:t>
      </w:r>
      <w:r>
        <w:rPr>
          <w:rStyle w:val="Strong"/>
        </w:rPr>
        <w:t>gdpr@viamed.co.uk</w:t>
      </w:r>
      <w:r>
        <w:rPr/>
        <w:t>.</w:t>
      </w:r>
    </w:p>
    <w:p>
      <w:pPr>
        <w:pStyle w:val="HorizontalLine"/>
        <w:rPr/>
      </w:pPr>
      <w:r>
        <w:rPr/>
      </w:r>
    </w:p>
    <w:p>
      <w:pPr>
        <w:pStyle w:val="Heading3"/>
        <w:rPr/>
      </w:pPr>
      <w:r>
        <w:rPr>
          <w:rStyle w:val="Strong"/>
        </w:rPr>
        <w:t>7. Data Security Measures</w:t>
      </w:r>
    </w:p>
    <w:p>
      <w:pPr>
        <w:pStyle w:val="BodyText"/>
        <w:rPr/>
      </w:pPr>
      <w:r>
        <w:rPr/>
        <w:t>We implement strict security measures, including:</w:t>
      </w:r>
    </w:p>
    <w:p>
      <w:pPr>
        <w:pStyle w:val="BodyText"/>
        <w:numPr>
          <w:ilvl w:val="0"/>
          <w:numId w:val="7"/>
        </w:numPr>
        <w:tabs>
          <w:tab w:val="clear" w:pos="720"/>
          <w:tab w:val="left" w:pos="0" w:leader="none"/>
        </w:tabs>
        <w:ind w:hanging="283" w:left="709"/>
        <w:rPr/>
      </w:pPr>
      <w:r>
        <w:rPr/>
        <w:t>Access control restrictions.</w:t>
      </w:r>
    </w:p>
    <w:p>
      <w:pPr>
        <w:pStyle w:val="BodyText"/>
        <w:numPr>
          <w:ilvl w:val="0"/>
          <w:numId w:val="7"/>
        </w:numPr>
        <w:tabs>
          <w:tab w:val="clear" w:pos="720"/>
          <w:tab w:val="left" w:pos="0" w:leader="none"/>
        </w:tabs>
        <w:ind w:hanging="283" w:left="709"/>
        <w:rPr/>
      </w:pPr>
      <w:r>
        <w:rPr/>
        <w:t>Data encryption and secure storage protocols.</w:t>
      </w:r>
    </w:p>
    <w:p>
      <w:pPr>
        <w:pStyle w:val="BodyText"/>
        <w:numPr>
          <w:ilvl w:val="0"/>
          <w:numId w:val="7"/>
        </w:numPr>
        <w:tabs>
          <w:tab w:val="clear" w:pos="720"/>
          <w:tab w:val="left" w:pos="0" w:leader="none"/>
        </w:tabs>
        <w:ind w:hanging="283" w:left="709"/>
        <w:rPr/>
      </w:pPr>
      <w:r>
        <w:rPr/>
        <w:t>Cybersecurity audits and staff training.</w:t>
      </w:r>
    </w:p>
    <w:p>
      <w:pPr>
        <w:pStyle w:val="HorizontalLine"/>
        <w:rPr/>
      </w:pPr>
      <w:r>
        <w:rPr/>
      </w:r>
    </w:p>
    <w:p>
      <w:pPr>
        <w:pStyle w:val="Heading3"/>
        <w:rPr/>
      </w:pPr>
      <w:r>
        <w:rPr>
          <w:rStyle w:val="Strong"/>
        </w:rPr>
        <w:t>8. Data Sharing and International Transfers</w:t>
      </w:r>
    </w:p>
    <w:p>
      <w:pPr>
        <w:pStyle w:val="BodyText"/>
        <w:rPr/>
      </w:pPr>
      <w:r>
        <w:rPr/>
        <w:t>We do not sell personal data. We may share data with:</w:t>
      </w:r>
    </w:p>
    <w:p>
      <w:pPr>
        <w:pStyle w:val="BodyText"/>
        <w:numPr>
          <w:ilvl w:val="0"/>
          <w:numId w:val="8"/>
        </w:numPr>
        <w:tabs>
          <w:tab w:val="clear" w:pos="720"/>
          <w:tab w:val="left" w:pos="0" w:leader="none"/>
        </w:tabs>
        <w:ind w:hanging="283" w:left="709"/>
        <w:rPr/>
      </w:pPr>
      <w:r>
        <w:rPr>
          <w:rStyle w:val="Strong"/>
        </w:rPr>
        <w:t>Service providers</w:t>
      </w:r>
      <w:r>
        <w:rPr/>
        <w:t xml:space="preserve"> (IT, payment processors, logistics) under strict confidentiality agreements.</w:t>
      </w:r>
    </w:p>
    <w:p>
      <w:pPr>
        <w:pStyle w:val="BodyText"/>
        <w:numPr>
          <w:ilvl w:val="0"/>
          <w:numId w:val="8"/>
        </w:numPr>
        <w:tabs>
          <w:tab w:val="clear" w:pos="720"/>
          <w:tab w:val="left" w:pos="0" w:leader="none"/>
        </w:tabs>
        <w:ind w:hanging="283" w:left="709"/>
        <w:rPr/>
      </w:pPr>
      <w:r>
        <w:rPr>
          <w:rStyle w:val="Strong"/>
        </w:rPr>
        <w:t>Regulatory authorities</w:t>
      </w:r>
      <w:r>
        <w:rPr/>
        <w:t xml:space="preserve"> where required by law.</w:t>
      </w:r>
    </w:p>
    <w:p>
      <w:pPr>
        <w:pStyle w:val="BodyText"/>
        <w:numPr>
          <w:ilvl w:val="0"/>
          <w:numId w:val="8"/>
        </w:numPr>
        <w:tabs>
          <w:tab w:val="clear" w:pos="720"/>
          <w:tab w:val="left" w:pos="0" w:leader="none"/>
        </w:tabs>
        <w:ind w:hanging="283" w:left="709"/>
        <w:rPr/>
      </w:pPr>
      <w:r>
        <w:rPr>
          <w:rStyle w:val="Strong"/>
        </w:rPr>
        <w:t>International partners</w:t>
      </w:r>
      <w:r>
        <w:rPr/>
        <w:t xml:space="preserve"> with appropriate data transfer safeguards in place.</w:t>
      </w:r>
    </w:p>
    <w:p>
      <w:pPr>
        <w:pStyle w:val="HorizontalLine"/>
        <w:rPr/>
      </w:pPr>
      <w:r>
        <w:rPr/>
      </w:r>
    </w:p>
    <w:p>
      <w:pPr>
        <w:pStyle w:val="Heading3"/>
        <w:rPr/>
      </w:pPr>
      <w:r>
        <w:rPr>
          <w:rStyle w:val="Strong"/>
        </w:rPr>
        <w:t>9. Data Breach Notification</w:t>
      </w:r>
    </w:p>
    <w:p>
      <w:pPr>
        <w:pStyle w:val="BodyText"/>
        <w:rPr/>
      </w:pPr>
      <w:r>
        <w:rPr/>
        <w:t>In the event of a data breach:</w:t>
      </w:r>
    </w:p>
    <w:p>
      <w:pPr>
        <w:pStyle w:val="BodyText"/>
        <w:numPr>
          <w:ilvl w:val="0"/>
          <w:numId w:val="9"/>
        </w:numPr>
        <w:tabs>
          <w:tab w:val="clear" w:pos="720"/>
          <w:tab w:val="left" w:pos="0" w:leader="none"/>
        </w:tabs>
        <w:ind w:hanging="283" w:left="709"/>
        <w:rPr/>
      </w:pPr>
      <w:r>
        <w:rPr/>
        <w:t>We assess the risk and notify affected individuals where necessary.</w:t>
      </w:r>
    </w:p>
    <w:p>
      <w:pPr>
        <w:pStyle w:val="BodyText"/>
        <w:numPr>
          <w:ilvl w:val="0"/>
          <w:numId w:val="9"/>
        </w:numPr>
        <w:tabs>
          <w:tab w:val="clear" w:pos="720"/>
          <w:tab w:val="left" w:pos="0" w:leader="none"/>
        </w:tabs>
        <w:ind w:hanging="283" w:left="709"/>
        <w:rPr/>
      </w:pPr>
      <w:r>
        <w:rPr/>
        <w:t xml:space="preserve">The ICO is informed within </w:t>
      </w:r>
      <w:r>
        <w:rPr>
          <w:rStyle w:val="Strong"/>
        </w:rPr>
        <w:t>72 hours</w:t>
      </w:r>
      <w:r>
        <w:rPr/>
        <w:t xml:space="preserve"> if the breach poses a significant risk.</w:t>
      </w:r>
    </w:p>
    <w:p>
      <w:pPr>
        <w:pStyle w:val="HorizontalLine"/>
        <w:rPr/>
      </w:pPr>
      <w:r>
        <w:rPr/>
      </w:r>
    </w:p>
    <w:p>
      <w:pPr>
        <w:pStyle w:val="Heading3"/>
        <w:rPr/>
      </w:pPr>
      <w:r>
        <w:rPr>
          <w:rStyle w:val="Strong"/>
        </w:rPr>
        <w:t>10. Contact Information</w:t>
      </w:r>
    </w:p>
    <w:p>
      <w:pPr>
        <w:pStyle w:val="BodyText"/>
        <w:rPr/>
      </w:pPr>
      <w:r>
        <w:rPr>
          <w:rStyle w:val="Strong"/>
        </w:rPr>
        <w:t>For GDPR-related inquiries or concerns, contact:</w:t>
      </w:r>
      <w:r>
        <w:rPr/>
        <w:br/>
      </w:r>
      <w:r>
        <w:rPr>
          <w:rStyle w:val="Strong"/>
        </w:rPr>
        <w:t>Email:</w:t>
      </w:r>
      <w:r>
        <w:rPr/>
        <w:t xml:space="preserve"> gdpr@viamed.co.uk</w:t>
        <w:br/>
      </w:r>
      <w:r>
        <w:rPr>
          <w:rStyle w:val="Strong"/>
        </w:rPr>
        <w:t>Telephone:</w:t>
      </w:r>
      <w:r>
        <w:rPr/>
        <w:t xml:space="preserve"> +44 (0)1535 634542</w:t>
        <w:br/>
      </w:r>
      <w:r>
        <w:rPr>
          <w:rStyle w:val="Strong"/>
        </w:rPr>
        <w:t>Data Protection Officer:</w:t>
      </w:r>
      <w:r>
        <w:rPr/>
        <w:t xml:space="preserve"> Helen Lamb</w:t>
      </w:r>
    </w:p>
    <w:p>
      <w:pPr>
        <w:pStyle w:val="LO-normal"/>
        <w:ind w:hanging="0" w:left="0"/>
        <w:rPr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990" w:right="840" w:gutter="0" w:header="0" w:top="1440" w:footer="0" w:bottom="735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>
        <w:sz w:val="20"/>
        <w:szCs w:val="20"/>
      </w:rPr>
    </w:pPr>
    <w:r>
      <w:rPr>
        <w:sz w:val="20"/>
        <w:szCs w:val="20"/>
      </w:rPr>
    </w:r>
  </w:p>
  <w:tbl>
    <w:tblPr>
      <w:tblStyle w:val="Table2"/>
      <w:tblW w:w="12038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600"/>
    </w:tblPr>
    <w:tblGrid>
      <w:gridCol w:w="12038"/>
    </w:tblGrid>
    <w:tr>
      <w:trPr>
        <w:trHeight w:val="360" w:hRule="atLeast"/>
      </w:trPr>
      <w:tc>
        <w:tcPr>
          <w:tcW w:w="12038" w:type="dxa"/>
          <w:tcBorders/>
          <w:shd w:fill="0553A5" w:val="clear"/>
        </w:tcPr>
        <w:p>
          <w:pPr>
            <w:pStyle w:val="LO-normal"/>
            <w:widowControl w:val="false"/>
            <w:spacing w:lineRule="auto" w:line="240"/>
            <w:jc w:val="left"/>
            <w:rPr>
              <w:sz w:val="2"/>
              <w:szCs w:val="2"/>
            </w:rPr>
          </w:pPr>
          <w:r>
            <w:rPr>
              <w:sz w:val="2"/>
              <w:szCs w:val="2"/>
            </w:rPr>
          </w:r>
        </w:p>
      </w:tc>
    </w:tr>
    <w:tr>
      <w:trPr>
        <w:trHeight w:val="360" w:hRule="atLeast"/>
      </w:trPr>
      <w:tc>
        <w:tcPr>
          <w:tcW w:w="12038" w:type="dxa"/>
          <w:tcBorders/>
          <w:shd w:fill="0553A5" w:val="clear"/>
          <w:vAlign w:val="center"/>
        </w:tcPr>
        <w:p>
          <w:pPr>
            <w:pStyle w:val="LO-normal"/>
            <w:widowControl w:val="false"/>
            <w:spacing w:lineRule="auto" w:line="240"/>
            <w:ind w:hanging="0" w:left="0"/>
            <w:jc w:val="center"/>
            <w:rPr>
              <w:color w:val="FFFFFF"/>
              <w:sz w:val="20"/>
              <w:szCs w:val="20"/>
              <w:u w:val="single"/>
            </w:rPr>
          </w:pPr>
          <w:r>
            <w:rPr>
              <w:color w:val="FFFFFF"/>
              <w:sz w:val="20"/>
              <w:szCs w:val="20"/>
              <w:u w:val="single"/>
            </w:rPr>
          </w:r>
        </w:p>
      </w:tc>
    </w:tr>
    <w:tr>
      <w:trPr>
        <w:trHeight w:val="300" w:hRule="atLeast"/>
      </w:trPr>
      <w:tc>
        <w:tcPr>
          <w:tcW w:w="12038" w:type="dxa"/>
          <w:tcBorders/>
          <w:shd w:fill="0553A5" w:val="clear"/>
        </w:tcPr>
        <w:p>
          <w:pPr>
            <w:pStyle w:val="LO-normal"/>
            <w:widowControl w:val="false"/>
            <w:spacing w:lineRule="auto" w:line="240"/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</w:r>
        </w:p>
      </w:tc>
    </w:tr>
  </w:tbl>
  <w:p>
    <w:pPr>
      <w:pStyle w:val="LO-normal"/>
      <w:rPr>
        <w:sz w:val="2"/>
        <w:szCs w:val="2"/>
      </w:rPr>
    </w:pPr>
    <w:r>
      <w:rPr>
        <w:sz w:val="2"/>
        <w:szCs w:val="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>
        <w:sz w:val="2"/>
        <w:szCs w:val="2"/>
      </w:rPr>
    </w:pPr>
    <w:r>
      <w:rPr>
        <w:sz w:val="2"/>
        <w:szCs w:val="2"/>
      </w:rPr>
    </w:r>
  </w:p>
  <w:tbl>
    <w:tblPr>
      <w:tblStyle w:val="Table1"/>
      <w:tblW w:w="12031" w:type="dxa"/>
      <w:jc w:val="left"/>
      <w:tblInd w:w="-890" w:type="dxa"/>
      <w:tblLayout w:type="fixed"/>
      <w:tblCellMar>
        <w:top w:w="100" w:type="dxa"/>
        <w:left w:w="100" w:type="dxa"/>
        <w:bottom w:w="100" w:type="dxa"/>
        <w:right w:w="100" w:type="dxa"/>
      </w:tblCellMar>
      <w:tblLook w:val="0600"/>
    </w:tblPr>
    <w:tblGrid>
      <w:gridCol w:w="95"/>
      <w:gridCol w:w="11936"/>
    </w:tblGrid>
    <w:tr>
      <w:trPr>
        <w:trHeight w:val="1380" w:hRule="atLeast"/>
      </w:trPr>
      <w:tc>
        <w:tcPr>
          <w:tcW w:w="95" w:type="dxa"/>
          <w:tcBorders/>
          <w:shd w:fill="0553A5" w:val="clear"/>
        </w:tcPr>
        <w:p>
          <w:pPr>
            <w:pStyle w:val="LO-normal"/>
            <w:widowControl w:val="false"/>
            <w:spacing w:lineRule="auto" w:line="240"/>
            <w:rPr/>
          </w:pPr>
          <w:r>
            <w:rPr/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561975</wp:posOffset>
                </wp:positionH>
                <wp:positionV relativeFrom="paragraph">
                  <wp:posOffset>66675</wp:posOffset>
                </wp:positionV>
                <wp:extent cx="909955" cy="775970"/>
                <wp:effectExtent l="0" t="0" r="0" b="0"/>
                <wp:wrapSquare wrapText="bothSides"/>
                <wp:docPr id="1" name="image3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3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9955" cy="775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936" w:type="dxa"/>
          <w:tcBorders/>
          <w:shd w:fill="0553A5" w:val="clear"/>
        </w:tcPr>
        <w:p>
          <w:pPr>
            <w:pStyle w:val="LO-normal"/>
            <w:widowControl w:val="false"/>
            <w:spacing w:lineRule="auto" w:line="240"/>
            <w:jc w:val="right"/>
            <w:rPr/>
          </w:pPr>
          <w:r>
            <w:rPr/>
          </w:r>
        </w:p>
        <w:p>
          <w:pPr>
            <w:pStyle w:val="Title"/>
            <w:jc w:val="center"/>
            <w:rPr>
              <w:color w:val="FFFFFF"/>
              <w:highlight w:val="none"/>
              <w:shd w:fill="auto" w:val="clear"/>
            </w:rPr>
          </w:pPr>
          <w:bookmarkStart w:id="0" w:name="_79ul9whifhsn_Copy_2"/>
          <w:bookmarkEnd w:id="0"/>
          <w:r>
            <w:rPr>
              <w:b/>
              <w:color w:val="FFFFFF"/>
              <w:shd w:fill="auto" w:val="clear"/>
            </w:rPr>
            <w:t xml:space="preserve">GDPR Privacy Policy of </w:t>
          </w:r>
          <w:r>
            <w:rPr>
              <w:b/>
              <w:color w:val="FFFFFF"/>
              <w:shd w:fill="auto" w:val="clear"/>
            </w:rPr>
            <w:t>Viamed Group of Companies</w:t>
          </w:r>
        </w:p>
        <w:p>
          <w:pPr>
            <w:pStyle w:val="LO-normal"/>
            <w:rPr>
              <w:color w:val="FFFFFF"/>
              <w:sz w:val="16"/>
              <w:szCs w:val="16"/>
            </w:rPr>
          </w:pPr>
          <w:r>
            <w:rPr>
              <w:color w:val="FFFFFF"/>
              <w:sz w:val="16"/>
              <w:szCs w:val="16"/>
            </w:rPr>
          </w:r>
        </w:p>
        <w:p>
          <w:pPr>
            <w:pStyle w:val="LO-normal"/>
            <w:widowControl w:val="false"/>
            <w:spacing w:lineRule="auto" w:line="240"/>
            <w:jc w:val="both"/>
            <w:rPr>
              <w:color w:val="FFFFFF"/>
              <w:sz w:val="28"/>
              <w:szCs w:val="28"/>
            </w:rPr>
          </w:pPr>
          <w:r>
            <w:rPr/>
            <w:t xml:space="preserve">                                </w:t>
          </w:r>
        </w:p>
      </w:tc>
    </w:tr>
  </w:tbl>
  <w:p>
    <w:pPr>
      <w:pStyle w:val="LO-normal"/>
      <w:rPr>
        <w:sz w:val="24"/>
        <w:szCs w:val="24"/>
      </w:rPr>
    </w:pPr>
    <w:r>
      <w:rPr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10"/>
  <w:displayBackgroundShape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LO-normal"/>
    <w:next w:val="LO-normal"/>
    <w:qFormat/>
    <w:pPr>
      <w:keepNext w:val="true"/>
      <w:keepLines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LO-normal"/>
    <w:next w:val="LO-normal"/>
    <w:qFormat/>
    <w:pPr>
      <w:keepNext w:val="true"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spacing w:lineRule="auto" w:line="240" w:before="240" w:after="80"/>
    </w:pPr>
    <w:rPr>
      <w:i/>
      <w:color w:val="666666"/>
      <w:sz w:val="22"/>
      <w:szCs w:val="22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-normal"/>
    <w:next w:val="LO-normal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55</TotalTime>
  <Application>LibreOffice/7.6.2.1$Windows_X86_64 LibreOffice_project/56f7684011345957bbf33a7ee678afaf4d2ba333</Application>
  <AppVersion>15.0000</AppVersion>
  <Pages>3</Pages>
  <Words>493</Words>
  <Characters>2842</Characters>
  <CharactersWithSpaces>3278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en-GB</dc:language>
  <cp:lastModifiedBy/>
  <dcterms:modified xsi:type="dcterms:W3CDTF">2025-03-10T16:46:55Z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