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Calibri" w:cstheme="minorHAnsi"/>
          <w:color w:val="FF0000"/>
          <w:sz w:val="14"/>
          <w:szCs w:val="14"/>
        </w:rPr>
      </w:pPr>
      <w:r>
        <w:rPr>
          <w:rFonts w:cs="Calibri" w:cstheme="minorHAnsi" w:ascii="Verdana" w:hAnsi="Verdana"/>
          <w:color w:val="FF0000"/>
          <w:sz w:val="14"/>
          <w:szCs w:val="14"/>
        </w:rPr>
        <mc:AlternateContent>
          <mc:Choice Requires="wps">
            <w:drawing>
              <wp:anchor behindDoc="0" distT="36195" distB="60960" distL="104775" distR="128905" simplePos="0" locked="0" layoutInCell="0" allowOverlap="1" relativeHeight="2" wp14:anchorId="102B25F1">
                <wp:simplePos x="0" y="0"/>
                <wp:positionH relativeFrom="column">
                  <wp:posOffset>39370</wp:posOffset>
                </wp:positionH>
                <wp:positionV relativeFrom="paragraph">
                  <wp:posOffset>15875</wp:posOffset>
                </wp:positionV>
                <wp:extent cx="5557520" cy="2051050"/>
                <wp:effectExtent l="9525" t="9525" r="9525" b="9525"/>
                <wp:wrapSquare wrapText="bothSides"/>
                <wp:docPr id="1" name="Text Box 2"/>
                <a:graphic xmlns:a="http://schemas.openxmlformats.org/drawingml/2006/main">
                  <a:graphicData uri="http://schemas.microsoft.com/office/word/2010/wordprocessingShape">
                    <wps:wsp>
                      <wps:cNvSpPr/>
                      <wps:spPr>
                        <a:xfrm>
                          <a:off x="0" y="0"/>
                          <a:ext cx="5557680" cy="2050920"/>
                        </a:xfrm>
                        <a:prstGeom prst="rect">
                          <a:avLst/>
                        </a:prstGeom>
                        <a:solidFill>
                          <a:srgbClr val="ffffff"/>
                        </a:solidFill>
                        <a:ln w="19050">
                          <a:solidFill>
                            <a:srgbClr val="ff0000"/>
                          </a:solidFill>
                          <a:miter/>
                        </a:ln>
                      </wps:spPr>
                      <wps:style>
                        <a:lnRef idx="0"/>
                        <a:fillRef idx="0"/>
                        <a:effectRef idx="0"/>
                        <a:fontRef idx="minor"/>
                      </wps:style>
                      <wps:txbx>
                        <w:txbxContent>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THIS TEMPLATE IS PROVIDED BY NHS SUPPLY CHAIN FOR APPLICANTS TO RESPOND TO QUESTION 1.5.1 (OF THE TECHNICAL ENVELOPE) ON THE PATIENT MONITORING EQUIPMENT, RELATED ACCESSORIES AND SERVICES.</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 xml:space="preserve">ONLY RESPONSES TO QUESTION 1.5.1 THAT ARE COMPLETED ON THIS DOCUMENT AND MEETING THE REQUIREMENTS AS SET OUT IN THE QUESTION WILL BE REVIEWED FOR EVALUATION. </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A WORD COUNT WILL BE CONDUCTED ON THE COMPLETED TEMPLATE. WHERE AN APPLICANT’S REPSONSE EXCEEDS THE 1000 WORD LIMIT ANY WORDS IN EXCESS OF THE ABOVE-MENTIONED WORD LIMIT WILL BE DISREGARDED FROM THE EVALUATION PROCESS.</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FOR THE AVOIDANCE OF DOUBT, NO OTHER ATTACHMENT OR EXTERNAL LINKS CONTAINED WITHIN THE 1000 WORD RESPONSE WILL BE EVALUATED.</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THE AWARD CRITERIA FOR THIS QUESTION CAN BE FOUND IN “ITT – ATTACHMENT 5 QUALIFICATION, EVALUATION AND AWARD GUIDANCE”.</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THE QUESTION IS REPEATED BELOW FOR REFERENCE.</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3.1pt;margin-top:1.25pt;width:437.55pt;height:161.45pt;mso-wrap-style:square;v-text-anchor:top" wp14:anchorId="102B25F1">
                <v:fill o:detectmouseclick="t" type="solid" color2="black"/>
                <v:stroke color="red" weight="19080" joinstyle="miter" endcap="flat"/>
                <v:textbox>
                  <w:txbxContent>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THIS TEMPLATE IS PROVIDED BY NHS SUPPLY CHAIN FOR APPLICANTS TO RESPOND TO QUESTION 1.5.1 (OF THE TECHNICAL ENVELOPE) ON THE PATIENT MONITORING EQUIPMENT, RELATED ACCESSORIES AND SERVICES.</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 xml:space="preserve">ONLY RESPONSES TO QUESTION 1.5.1 THAT ARE COMPLETED ON THIS DOCUMENT AND MEETING THE REQUIREMENTS AS SET OUT IN THE QUESTION WILL BE REVIEWED FOR EVALUATION. </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A WORD COUNT WILL BE CONDUCTED ON THE COMPLETED TEMPLATE. WHERE AN APPLICANT’S REPSONSE EXCEEDS THE 1000 WORD LIMIT ANY WORDS IN EXCESS OF THE ABOVE-MENTIONED WORD LIMIT WILL BE DISREGARDED FROM THE EVALUATION PROCESS.</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FOR THE AVOIDANCE OF DOUBT, NO OTHER ATTACHMENT OR EXTERNAL LINKS CONTAINED WITHIN THE 1000 WORD RESPONSE WILL BE EVALUATED.</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THE AWARD CRITERIA FOR THIS QUESTION CAN BE FOUND IN “ITT – ATTACHMENT 5 QUALIFICATION, EVALUATION AND AWARD GUIDANCE”.</w:t>
                      </w:r>
                    </w:p>
                    <w:p>
                      <w:pPr>
                        <w:pStyle w:val="FrameContents"/>
                        <w:rPr>
                          <w:rFonts w:ascii="Verdana" w:hAnsi="Verdana" w:cs="Calibri" w:cstheme="minorHAnsi"/>
                          <w:color w:val="FF0000"/>
                          <w:sz w:val="14"/>
                          <w:szCs w:val="14"/>
                        </w:rPr>
                      </w:pPr>
                      <w:r>
                        <w:rPr>
                          <w:rFonts w:cs="Calibri" w:ascii="Verdana" w:hAnsi="Verdana" w:cstheme="minorHAnsi"/>
                          <w:color w:val="FF0000"/>
                          <w:sz w:val="14"/>
                          <w:szCs w:val="14"/>
                        </w:rPr>
                        <w:t>THE QUESTION IS REPEATED BELOW FOR REFERENCE.</w:t>
                      </w:r>
                    </w:p>
                    <w:p>
                      <w:pPr>
                        <w:pStyle w:val="FrameContents"/>
                        <w:spacing w:before="0" w:after="160"/>
                        <w:rPr/>
                      </w:pPr>
                      <w:r>
                        <w:rPr/>
                      </w:r>
                    </w:p>
                  </w:txbxContent>
                </v:textbox>
                <w10:wrap type="square"/>
              </v:rect>
            </w:pict>
          </mc:Fallback>
        </mc:AlternateContent>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Social Value Theme: Fighting Climate Change</w:t>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 xml:space="preserve">Award Criteria: Using only the template provided, and a maximum of 1000 words, please describe the Carbon or Environmental Impact of the products which are the subject of this (Non-Specialist Patient Monitoring Equipment) procurement and outline how through the lifetime of the contract you will measure and reduce this impact? </w:t>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Your response should demonstrate your understanding of life cycle impacts that could include but not be limited to ; design phase (designing for sustainability), material selection (use of recycled materials), manufacture, choice of  packaging materials/packaging reduction, transport and delivery (consolidation/optimisation), in use phase (energy efficiency/green performance management/training),  end of life and disposal (recycling, remanufacturing, refurb and circular economy ) and the actions and commitments you will make to reduce this impact as set out below</w:t>
      </w:r>
    </w:p>
    <w:p>
      <w:pPr>
        <w:pStyle w:val="Normal"/>
        <w:spacing w:before="0" w:after="120"/>
        <w:rPr>
          <w:rFonts w:ascii="Verdana" w:hAnsi="Verdana" w:cs="Calibri" w:cstheme="minorHAnsi"/>
          <w:color w:val="000000"/>
          <w:sz w:val="18"/>
          <w:szCs w:val="18"/>
        </w:rPr>
      </w:pPr>
      <w:r>
        <w:rPr>
          <w:rFonts w:cs="Calibri" w:cstheme="minorHAnsi" w:ascii="Verdana" w:hAnsi="Verdana"/>
          <w:color w:val="000000"/>
          <w:sz w:val="18"/>
          <w:szCs w:val="18"/>
        </w:rPr>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Your response should include</w:t>
      </w:r>
    </w:p>
    <w:p>
      <w:pPr>
        <w:pStyle w:val="Normal"/>
        <w:spacing w:before="0" w:after="120"/>
        <w:rPr>
          <w:rFonts w:ascii="Verdana" w:hAnsi="Verdana" w:cs="Calibri" w:cstheme="minorHAnsi"/>
          <w:color w:val="000000"/>
          <w:sz w:val="18"/>
          <w:szCs w:val="18"/>
        </w:rPr>
      </w:pPr>
      <w:r>
        <w:rPr>
          <w:rFonts w:cs="Calibri" w:cstheme="minorHAnsi" w:ascii="Verdana" w:hAnsi="Verdana"/>
          <w:color w:val="000000"/>
          <w:sz w:val="18"/>
          <w:szCs w:val="18"/>
        </w:rPr>
      </w:r>
    </w:p>
    <w:p>
      <w:pPr>
        <w:pStyle w:val="Normal"/>
        <w:spacing w:before="0" w:after="120"/>
        <w:rPr>
          <w:rFonts w:ascii="Verdana" w:hAnsi="Verdana" w:cs="Calibri" w:cstheme="minorHAnsi"/>
          <w:sz w:val="18"/>
          <w:szCs w:val="18"/>
        </w:rPr>
      </w:pPr>
      <w:r>
        <w:rPr>
          <w:rFonts w:cs="Calibri" w:ascii="Verdana" w:hAnsi="Verdana" w:cstheme="minorHAnsi"/>
          <w:sz w:val="18"/>
          <w:szCs w:val="18"/>
        </w:rPr>
        <w:t xml:space="preserve">● </w:t>
      </w:r>
      <w:r>
        <w:rPr>
          <w:rFonts w:cs="Calibri" w:ascii="Verdana" w:hAnsi="Verdana" w:cstheme="minorHAnsi"/>
          <w:sz w:val="18"/>
          <w:szCs w:val="18"/>
        </w:rPr>
        <w:t xml:space="preserve">Your ‘Method Statement’, stating how you will achieve this and how your commitment meets the Award Criteria, and </w:t>
      </w:r>
    </w:p>
    <w:p>
      <w:pPr>
        <w:pStyle w:val="Normal"/>
        <w:spacing w:before="0" w:after="120"/>
        <w:rPr>
          <w:rFonts w:ascii="Verdana" w:hAnsi="Verdana" w:cs="Calibri" w:cstheme="minorHAnsi"/>
          <w:sz w:val="18"/>
          <w:szCs w:val="18"/>
        </w:rPr>
      </w:pPr>
      <w:r>
        <w:rPr>
          <w:rFonts w:cs="Calibri" w:ascii="Verdana" w:hAnsi="Verdana" w:cstheme="minorHAnsi"/>
          <w:sz w:val="18"/>
          <w:szCs w:val="18"/>
        </w:rPr>
        <w:t xml:space="preserve">● </w:t>
      </w:r>
      <w:r>
        <w:rPr>
          <w:rFonts w:cs="Calibri" w:ascii="Verdana" w:hAnsi="Verdana" w:cstheme="minorHAnsi"/>
          <w:sz w:val="18"/>
          <w:szCs w:val="18"/>
        </w:rPr>
        <w:t xml:space="preserve">a timed project plan and process, including how you will implement your commitment and by when. Also, how you will monitor, measure and report on your commitments/the impact of your proposals. You should include but not be limited to: </w:t>
      </w:r>
    </w:p>
    <w:p>
      <w:pPr>
        <w:pStyle w:val="Normal"/>
        <w:spacing w:before="0" w:after="120"/>
        <w:rPr>
          <w:rFonts w:ascii="Verdana" w:hAnsi="Verdana" w:cs="Calibri" w:cstheme="minorHAnsi"/>
          <w:sz w:val="18"/>
          <w:szCs w:val="18"/>
        </w:rPr>
      </w:pPr>
      <w:r>
        <w:rPr>
          <w:rFonts w:cs="Calibri" w:ascii="Verdana" w:hAnsi="Verdana" w:cstheme="minorHAnsi"/>
          <w:sz w:val="18"/>
          <w:szCs w:val="18"/>
        </w:rPr>
        <w:t xml:space="preserve">        </w:t>
      </w:r>
      <w:r>
        <w:rPr>
          <w:rFonts w:cs="Arial" w:ascii="Arial" w:hAnsi="Arial"/>
          <w:sz w:val="18"/>
          <w:szCs w:val="18"/>
        </w:rPr>
        <w:t>○</w:t>
      </w:r>
      <w:r>
        <w:rPr>
          <w:rFonts w:cs="Calibri" w:ascii="Verdana" w:hAnsi="Verdana" w:cstheme="minorHAnsi"/>
          <w:sz w:val="18"/>
          <w:szCs w:val="18"/>
        </w:rPr>
        <w:t xml:space="preserve"> </w:t>
      </w:r>
      <w:r>
        <w:rPr>
          <w:rFonts w:cs="Calibri" w:ascii="Verdana" w:hAnsi="Verdana" w:cstheme="minorHAnsi"/>
          <w:sz w:val="18"/>
          <w:szCs w:val="18"/>
        </w:rPr>
        <w:t xml:space="preserve">timed action plan </w:t>
      </w:r>
      <w:r>
        <w:rPr>
          <w:rFonts w:cs="Arial" w:ascii="Arial" w:hAnsi="Arial"/>
          <w:sz w:val="18"/>
          <w:szCs w:val="18"/>
        </w:rPr>
        <w:t>○</w:t>
      </w:r>
      <w:r>
        <w:rPr>
          <w:rFonts w:cs="Calibri" w:ascii="Verdana" w:hAnsi="Verdana" w:cstheme="minorHAnsi"/>
          <w:sz w:val="18"/>
          <w:szCs w:val="18"/>
        </w:rPr>
        <w:t xml:space="preserve"> use of metrics </w:t>
      </w:r>
    </w:p>
    <w:p>
      <w:pPr>
        <w:pStyle w:val="Normal"/>
        <w:spacing w:before="0" w:after="120"/>
        <w:rPr>
          <w:rFonts w:ascii="Verdana" w:hAnsi="Verdana" w:cs="Calibri" w:cstheme="minorHAnsi"/>
          <w:sz w:val="18"/>
          <w:szCs w:val="18"/>
        </w:rPr>
      </w:pPr>
      <w:r>
        <w:rPr>
          <w:rFonts w:cs="Calibri" w:ascii="Verdana" w:hAnsi="Verdana" w:cstheme="minorHAnsi"/>
          <w:sz w:val="18"/>
          <w:szCs w:val="18"/>
        </w:rPr>
        <w:t xml:space="preserve">        </w:t>
      </w:r>
      <w:r>
        <w:rPr>
          <w:rFonts w:cs="Arial" w:ascii="Arial" w:hAnsi="Arial"/>
          <w:sz w:val="18"/>
          <w:szCs w:val="18"/>
        </w:rPr>
        <w:t>○</w:t>
      </w:r>
      <w:r>
        <w:rPr>
          <w:rFonts w:cs="Calibri" w:ascii="Verdana" w:hAnsi="Verdana" w:cstheme="minorHAnsi"/>
          <w:sz w:val="18"/>
          <w:szCs w:val="18"/>
        </w:rPr>
        <w:t xml:space="preserve"> </w:t>
      </w:r>
      <w:r>
        <w:rPr>
          <w:rFonts w:cs="Calibri" w:ascii="Verdana" w:hAnsi="Verdana" w:cstheme="minorHAnsi"/>
          <w:sz w:val="18"/>
          <w:szCs w:val="18"/>
        </w:rPr>
        <w:t xml:space="preserve">tools/processes used to gather data </w:t>
      </w:r>
    </w:p>
    <w:p>
      <w:pPr>
        <w:pStyle w:val="Normal"/>
        <w:spacing w:before="0" w:after="120"/>
        <w:rPr>
          <w:rFonts w:ascii="Verdana" w:hAnsi="Verdana" w:cs="Calibri" w:cstheme="minorHAnsi"/>
          <w:sz w:val="18"/>
          <w:szCs w:val="18"/>
        </w:rPr>
      </w:pPr>
      <w:r>
        <w:rPr>
          <w:rFonts w:cs="Calibri" w:ascii="Verdana" w:hAnsi="Verdana" w:cstheme="minorHAnsi"/>
          <w:sz w:val="18"/>
          <w:szCs w:val="18"/>
        </w:rPr>
        <w:t xml:space="preserve">        </w:t>
      </w:r>
      <w:r>
        <w:rPr>
          <w:rFonts w:cs="Arial" w:ascii="Arial" w:hAnsi="Arial"/>
          <w:sz w:val="18"/>
          <w:szCs w:val="18"/>
        </w:rPr>
        <w:t>○</w:t>
      </w:r>
      <w:r>
        <w:rPr>
          <w:rFonts w:cs="Calibri" w:ascii="Verdana" w:hAnsi="Verdana" w:cstheme="minorHAnsi"/>
          <w:sz w:val="18"/>
          <w:szCs w:val="18"/>
        </w:rPr>
        <w:t xml:space="preserve"> </w:t>
      </w:r>
      <w:r>
        <w:rPr>
          <w:rFonts w:cs="Calibri" w:ascii="Verdana" w:hAnsi="Verdana" w:cstheme="minorHAnsi"/>
          <w:sz w:val="18"/>
          <w:szCs w:val="18"/>
        </w:rPr>
        <w:t>reporting</w:t>
      </w:r>
    </w:p>
    <w:p>
      <w:pPr>
        <w:pStyle w:val="Normal"/>
        <w:spacing w:before="0" w:after="120"/>
        <w:rPr>
          <w:rFonts w:ascii="Verdana" w:hAnsi="Verdana" w:cs="Calibri" w:cstheme="minorHAnsi"/>
          <w:sz w:val="18"/>
          <w:szCs w:val="18"/>
        </w:rPr>
      </w:pPr>
      <w:r>
        <w:rPr>
          <w:rFonts w:cs="Calibri" w:ascii="Verdana" w:hAnsi="Verdana" w:cstheme="minorHAnsi"/>
          <w:sz w:val="18"/>
          <w:szCs w:val="18"/>
        </w:rPr>
        <w:t xml:space="preserve">        </w:t>
      </w:r>
      <w:r>
        <w:rPr>
          <w:rFonts w:cs="Arial" w:ascii="Arial" w:hAnsi="Arial"/>
          <w:sz w:val="18"/>
          <w:szCs w:val="18"/>
        </w:rPr>
        <w:t>○</w:t>
      </w:r>
      <w:r>
        <w:rPr>
          <w:rFonts w:cs="Calibri" w:ascii="Verdana" w:hAnsi="Verdana" w:cstheme="minorHAnsi"/>
          <w:sz w:val="18"/>
          <w:szCs w:val="18"/>
        </w:rPr>
        <w:t xml:space="preserve"> </w:t>
      </w:r>
      <w:r>
        <w:rPr>
          <w:rFonts w:cs="Calibri" w:ascii="Verdana" w:hAnsi="Verdana" w:cstheme="minorHAnsi"/>
          <w:sz w:val="18"/>
          <w:szCs w:val="18"/>
        </w:rPr>
        <w:t xml:space="preserve">feedback and improvement </w:t>
      </w:r>
    </w:p>
    <w:p>
      <w:pPr>
        <w:pStyle w:val="Normal"/>
        <w:spacing w:before="0" w:after="120"/>
        <w:rPr>
          <w:rFonts w:ascii="Verdana" w:hAnsi="Verdana" w:cs="Calibri" w:cstheme="minorHAnsi"/>
          <w:sz w:val="18"/>
          <w:szCs w:val="18"/>
        </w:rPr>
      </w:pPr>
      <w:r>
        <w:rPr>
          <w:rFonts w:cs="Calibri" w:ascii="Verdana" w:hAnsi="Verdana" w:cstheme="minorHAnsi"/>
          <w:sz w:val="18"/>
          <w:szCs w:val="18"/>
        </w:rPr>
        <w:t xml:space="preserve">        </w:t>
      </w:r>
      <w:r>
        <w:rPr>
          <w:rFonts w:cs="Arial" w:ascii="Arial" w:hAnsi="Arial"/>
          <w:sz w:val="18"/>
          <w:szCs w:val="18"/>
        </w:rPr>
        <w:t>○</w:t>
      </w:r>
      <w:r>
        <w:rPr>
          <w:rFonts w:cs="Calibri" w:ascii="Verdana" w:hAnsi="Verdana" w:cstheme="minorHAnsi"/>
          <w:sz w:val="18"/>
          <w:szCs w:val="18"/>
        </w:rPr>
        <w:t xml:space="preserve"> </w:t>
      </w:r>
      <w:r>
        <w:rPr>
          <w:rFonts w:cs="Calibri" w:ascii="Verdana" w:hAnsi="Verdana" w:cstheme="minorHAnsi"/>
          <w:sz w:val="18"/>
          <w:szCs w:val="18"/>
        </w:rPr>
        <w:t>transparency</w:t>
      </w:r>
    </w:p>
    <w:p>
      <w:pPr>
        <w:pStyle w:val="Normal"/>
        <w:spacing w:before="0" w:after="120"/>
        <w:rPr>
          <w:rFonts w:ascii="Verdana" w:hAnsi="Verdana" w:cs="Calibri" w:cstheme="minorHAnsi"/>
          <w:sz w:val="18"/>
          <w:szCs w:val="18"/>
        </w:rPr>
      </w:pPr>
      <w:r>
        <w:rPr>
          <w:rFonts w:cs="Calibri" w:cstheme="minorHAnsi" w:ascii="Verdana" w:hAnsi="Verdana"/>
          <w:sz w:val="18"/>
          <w:szCs w:val="18"/>
        </w:rPr>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*Please respond using no more than the maximum word count only. Do not attach additional documents as they will not be considered for evaluation. You can use links within your response as a reference only, but please be aware, the content contained within the link will also not be evaluated.</w:t>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*Awarded suppliers will be required to provide a quarterly progress update report based on the action plan outlined in the response to this question.  Further information relating to ongoing obligations can be found in Appendix 4, the Framework Terms and Conditions.</w:t>
      </w:r>
    </w:p>
    <w:p>
      <w:pPr>
        <w:pStyle w:val="Normal"/>
        <w:spacing w:before="0" w:after="120"/>
        <w:rPr>
          <w:rFonts w:ascii="Verdana" w:hAnsi="Verdana" w:cs="Calibri" w:cstheme="minorHAnsi"/>
          <w:color w:val="000000"/>
          <w:sz w:val="18"/>
          <w:szCs w:val="18"/>
        </w:rPr>
      </w:pPr>
      <w:r>
        <w:rPr>
          <w:rFonts w:cs="Calibri" w:cstheme="minorHAnsi" w:ascii="Verdana" w:hAnsi="Verdana"/>
          <w:color w:val="000000"/>
          <w:sz w:val="18"/>
          <w:szCs w:val="18"/>
        </w:rPr>
      </w:r>
    </w:p>
    <w:p>
      <w:pPr>
        <w:pStyle w:val="Normal"/>
        <w:spacing w:before="0" w:after="120"/>
        <w:rPr>
          <w:rFonts w:ascii="Verdana" w:hAnsi="Verdana" w:cs="Calibri" w:cstheme="minorHAnsi"/>
          <w:b/>
          <w:b/>
          <w:bCs/>
          <w:color w:val="000000"/>
          <w:sz w:val="18"/>
          <w:szCs w:val="18"/>
        </w:rPr>
      </w:pPr>
      <w:r>
        <w:rPr>
          <w:rFonts w:cs="Calibri" w:ascii="Verdana" w:hAnsi="Verdana" w:cstheme="minorHAnsi"/>
          <w:b/>
          <w:bCs/>
          <w:sz w:val="18"/>
          <w:szCs w:val="18"/>
        </w:rPr>
        <w:t>Model Award Criteria- Deliver additional environmental benefits in the performance of the contract including working towards net zero greenhouse gas emissions.</w:t>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Activities that demonstrate and describe the tenderer’s existing or planned:</w:t>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 xml:space="preserve">● </w:t>
      </w:r>
      <w:r>
        <w:rPr>
          <w:rFonts w:cs="Calibri" w:ascii="Verdana" w:hAnsi="Verdana" w:cstheme="minorHAnsi"/>
          <w:color w:val="000000"/>
          <w:sz w:val="18"/>
          <w:szCs w:val="18"/>
        </w:rPr>
        <w:t>Understanding of additional environmental benefits in the performance of the contract, including working towards net zero greenhouse gas emissions. (A)</w:t>
      </w:r>
    </w:p>
    <w:p>
      <w:p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 xml:space="preserve">● </w:t>
      </w:r>
      <w:r>
        <w:rPr>
          <w:rFonts w:cs="Calibri" w:ascii="Verdana" w:hAnsi="Verdana" w:cstheme="minorHAnsi"/>
          <w:color w:val="000000"/>
          <w:sz w:val="18"/>
          <w:szCs w:val="18"/>
        </w:rPr>
        <w:t>Collaborative way of working with the supply chain to deliver additional environmental benefits in the performance of the contract, including working towards net zero greenhouse gas emissions. (B)</w:t>
      </w:r>
    </w:p>
    <w:p>
      <w:pPr>
        <w:sectPr>
          <w:headerReference w:type="default" r:id="rId2"/>
          <w:type w:val="nextPage"/>
          <w:pgSz w:w="11906" w:h="16838"/>
          <w:pgMar w:left="1440" w:right="1440" w:gutter="0" w:header="708" w:top="1440" w:footer="0"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4096"/>
        </w:sectPr>
        <w:pStyle w:val="Normal"/>
        <w:spacing w:before="0" w:after="120"/>
        <w:rPr>
          <w:rFonts w:ascii="Verdana" w:hAnsi="Verdana" w:cs="Calibri" w:cstheme="minorHAnsi"/>
          <w:color w:val="000000"/>
          <w:sz w:val="18"/>
          <w:szCs w:val="18"/>
        </w:rPr>
      </w:pPr>
      <w:r>
        <w:rPr>
          <w:rFonts w:cs="Calibri" w:ascii="Verdana" w:hAnsi="Verdana" w:cstheme="minorHAnsi"/>
          <w:color w:val="000000"/>
          <w:sz w:val="18"/>
          <w:szCs w:val="18"/>
        </w:rPr>
        <w:t xml:space="preserve">● </w:t>
      </w:r>
      <w:r>
        <w:rPr>
          <w:rFonts w:cs="Calibri" w:ascii="Verdana" w:hAnsi="Verdana" w:cstheme="minorHAnsi"/>
          <w:color w:val="000000"/>
          <w:sz w:val="18"/>
          <w:szCs w:val="18"/>
        </w:rPr>
        <w:t>Delivery of additional environmental benefits through the performance of the contract, including working towards net zero greenhouse gas emissions. (C)</w:t>
      </w:r>
    </w:p>
    <w:p>
      <w:pPr>
        <w:pStyle w:val="Normal"/>
        <w:spacing w:before="0" w:after="0"/>
        <w:rPr>
          <w:b/>
          <w:b/>
          <w:bCs/>
        </w:rPr>
      </w:pPr>
      <w:r>
        <w:rPr>
          <w:rFonts w:eastAsia="Times New Roman"/>
          <w:b/>
          <w:bCs/>
          <w:color w:val="FF0000"/>
        </w:rPr>
        <w:t>Please provide your answer in the section below (please note the 1000 maximum word count)</w:t>
      </w:r>
    </w:p>
    <w:p>
      <w:pPr>
        <w:pStyle w:val="Normal"/>
        <w:rPr/>
      </w:pPr>
      <w:r>
        <w:rPr/>
      </w:r>
    </w:p>
    <w:p>
      <w:pPr>
        <w:pStyle w:val="Normal"/>
        <w:rPr/>
      </w:pPr>
      <w:r>
        <w:rPr/>
      </w:r>
    </w:p>
    <w:p>
      <w:pPr>
        <w:pStyle w:val="Normal"/>
        <w:rPr/>
      </w:pPr>
      <w:r>
        <w:rPr/>
      </w:r>
    </w:p>
    <w:tbl>
      <w:tblPr>
        <w:tblStyle w:val="TableGrid"/>
        <w:tblW w:w="912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125"/>
      </w:tblGrid>
      <w:tr>
        <w:trPr>
          <w:trHeight w:val="12088" w:hRule="atLeast"/>
        </w:trPr>
        <w:tc>
          <w:tcPr>
            <w:tcW w:w="9125" w:type="dxa"/>
            <w:tcBorders>
              <w:top w:val="single" w:sz="12" w:space="0" w:color="000000"/>
              <w:left w:val="single" w:sz="12" w:space="0" w:color="000000"/>
              <w:bottom w:val="single" w:sz="12" w:space="0" w:color="000000"/>
              <w:right w:val="single" w:sz="12" w:space="0" w:color="000000"/>
            </w:tcBorders>
          </w:tcPr>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Our commitment is rooted in a comprehensive life cycle analysis aimed at minimizing the carbon impact of this framework. We acknowledge the urgency of addressing climate change and are dedicated to achieving net-zero greenhouse gas emissions by 2050. </w:t>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pPr>
            <w:r>
              <w:rPr>
                <w:rFonts w:eastAsia="Calibri" w:cs=""/>
                <w:kern w:val="0"/>
                <w:sz w:val="22"/>
                <w:szCs w:val="22"/>
                <w:lang w:val="en-GB" w:eastAsia="en-US" w:bidi="ar-SA"/>
              </w:rPr>
              <w:t>We will foster collaboration within our supply chain, emphasizing transparency and shared responsibility. Engaging suppliers in our sustainability goals, we will encourage the adoption of eco-friendly practices, from sourcing materials to manufacturing. Regular communication channels and collaborative internal workshops will be established to ensure a unified effort toward net-zero emissions.</w:t>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pPr>
            <w:r>
              <w:rPr>
                <w:rFonts w:eastAsia="Calibri" w:cs=""/>
                <w:kern w:val="0"/>
                <w:sz w:val="22"/>
                <w:szCs w:val="22"/>
                <w:lang w:val="en-GB" w:eastAsia="en-US" w:bidi="ar-SA"/>
              </w:rPr>
              <w:t>To deliver additional environmental benefits, we will focus on the following key areas throughout the contract lifecycle: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w:t>
            </w:r>
            <w:r>
              <w:rPr>
                <w:rFonts w:eastAsia="Calibri" w:cs=""/>
                <w:kern w:val="0"/>
                <w:sz w:val="22"/>
                <w:szCs w:val="22"/>
                <w:lang w:val="en-GB" w:eastAsia="en-US" w:bidi="ar-SA"/>
              </w:rPr>
              <w:t>1. Design Phase (where applicable):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Incorporate eco-design principles, ensuring products are energy-efficient, durable, and repairable. Therefore, offering in-house servicing to extend the life of the product.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Explore innovative materials, prioritizing recycled content and minimizing environmental impact.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Design for disassembly, facilitating easier recycling and re-manufacturing (if possible).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w:t>
            </w:r>
            <w:r>
              <w:rPr>
                <w:rFonts w:eastAsia="Calibri" w:cs=""/>
                <w:kern w:val="0"/>
                <w:sz w:val="22"/>
                <w:szCs w:val="22"/>
                <w:lang w:val="en-GB" w:eastAsia="en-US" w:bidi="ar-SA"/>
              </w:rPr>
              <w:t>2. Manufacturing (where applicable):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Implement energy-efficient manufacturing processes and invest in renewable energy sources.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Collaborate with suppliers to reduce waste and implement circular economy practices in production.</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w:t>
            </w:r>
            <w:r>
              <w:rPr>
                <w:rFonts w:eastAsia="Calibri" w:cs=""/>
                <w:kern w:val="0"/>
                <w:sz w:val="22"/>
                <w:szCs w:val="22"/>
                <w:lang w:val="en-GB" w:eastAsia="en-US" w:bidi="ar-SA"/>
              </w:rPr>
              <w:t>3. Packaging:</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Minimize packaging material usage and choose sustainable alternatives, for example smaller packaging boxes, paper wadding, dissoluble loose fill.</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Reducing the use of plastics within packaging and consider choosing sustainable alternatives.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Optimize packaging design to reduce transportation-related emissions.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Recycle unusable packaging.</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Reuse clean packaging</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w:t>
            </w:r>
            <w:r>
              <w:rPr>
                <w:rFonts w:eastAsia="Calibri" w:cs=""/>
                <w:kern w:val="0"/>
                <w:sz w:val="22"/>
                <w:szCs w:val="22"/>
                <w:lang w:val="en-GB" w:eastAsia="en-US" w:bidi="ar-SA"/>
              </w:rPr>
              <w:t>4. Transport and Delivery:</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Consolidate shipments and with the help of our courier, UPS, request optimised transport routes to minimize carbon emissions.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Encourage our courier, UPS, to explore low-emission transportation options and encourage our suppliers to do the same.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w:t>
            </w:r>
            <w:r>
              <w:rPr>
                <w:rFonts w:eastAsia="Calibri" w:cs=""/>
                <w:kern w:val="0"/>
                <w:sz w:val="22"/>
                <w:szCs w:val="22"/>
                <w:lang w:val="en-GB" w:eastAsia="en-US" w:bidi="ar-SA"/>
              </w:rPr>
              <w:t>5. In-Use Phase: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Develop energy-efficient product operation guidelines.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Provide virtual training programs for end-users to optimize device performance and minimize travel and carbon emission.</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w:t>
            </w:r>
            <w:r>
              <w:rPr>
                <w:rFonts w:eastAsia="Calibri" w:cs=""/>
                <w:kern w:val="0"/>
                <w:sz w:val="22"/>
                <w:szCs w:val="22"/>
                <w:lang w:val="en-GB" w:eastAsia="en-US" w:bidi="ar-SA"/>
              </w:rPr>
              <w:t>6. End of Life and Disposal:</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Implement a trade-in program for proper disposal and recycling of equipment.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Offer free WEEE waste disposal for all products.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Explore refurbishment and re-manufacturing options to extend product life.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Battery recycling.</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Oxygen sensor disposal as per local guidelines.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Timed Project Plan and Process: Our commitment will be implemented over a three-year timeline: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Year 1:</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Conduct a life cycle analysis and set specific reduction targets for each phase, where applicable.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Establish collaborations with suppliers, sharing sustainability goals and expectations.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Evaluate employees working environments, currently on average staff work from home 50-60% time.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Reduction in documentation requirements and records, to be kept and transmitted digitally.</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Reduction in travel to 1 overseas visit per year per supplier and consolidate visits with multiple suppliers where possible.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Business meetings to be held digitally rather than face-to-face to reduce carbon emissions.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Switch, where we have not already done so, to sustainable products within the company for daily use e.g. cleaning products, toilet paper, tissues, kitchen roll, envelopes and general office supplies.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Year 2:</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Integrate sustainable design principles into product development processes i.e. energy and material conservation, use environmentally preferable practices.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Compensate our CO2 footprint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Initiate pilot projects to assess the feasibility of circular economy practices in manufacturing i.e. green products (long-life, recyclable), cleaner production 9using fewer resources), better service options (to expand lifespan of product), recycling service widely available.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Year 3:</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Implement full-scale sustainability measures in product manufacturing and distribution.</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Develop and launch a comprehensive training program for end-users on energy-efficient device operation.</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Review possibility of 100% renewable electricity source (currently 80% renewable and in a 3 year fixed contract).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Metrics, Tools/Processes, Reporting, Feedback, and Improvement: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Metrics: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Carbon footprint assessments quarterly.</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Percentage of recycled materials used in products and packaging.</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Reduction in packaging material and weight.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Tools/Processes: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Life cycle assessment for continuous impact measurement to be reviewed.</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Supplier reviews to track sustainability performance.</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Continuous internal improvement meetings to gather feedback.</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Reporting:</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Quarterly progress updates submitted as per the Framework Terms and Conditions.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Annual comprehensive sustainability reports, including achievements and challenges.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Feedback and Improvement:</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Regular stakeholder engagement to gather feedback.</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 xml:space="preserve">        ◦ </w:t>
            </w:r>
            <w:r>
              <w:rPr>
                <w:rFonts w:eastAsia="Calibri" w:cs=""/>
                <w:kern w:val="0"/>
                <w:sz w:val="22"/>
                <w:szCs w:val="22"/>
                <w:lang w:val="en-GB" w:eastAsia="en-US" w:bidi="ar-SA"/>
              </w:rPr>
              <w:t>Continuous improvement based on lessons learned and evolving sustainability best practices.</w:t>
            </w:r>
          </w:p>
          <w:p>
            <w:pPr>
              <w:pStyle w:val="Normal"/>
              <w:widowControl w:val="false"/>
              <w:suppressAutoHyphens w:val="true"/>
              <w:spacing w:lineRule="auto" w:line="240" w:before="0" w:after="0"/>
              <w:jc w:val="left"/>
              <w:rPr/>
            </w:pPr>
            <w:r>
              <w:rPr>
                <w:rFonts w:eastAsia="Calibri" w:cs=""/>
                <w:kern w:val="0"/>
                <w:sz w:val="22"/>
                <w:szCs w:val="22"/>
                <w:lang w:val="en-GB" w:eastAsia="en-US" w:bidi="ar-SA"/>
              </w:rPr>
              <w:t>Transparency: Our commitment to transparency is evident through regular reporting, stakeholder engagement, and the incorporation of sustainable practices into our procurement process.</w:t>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This Method Statement outlines our holistic approach to reducing the carbon impact of this framework agreement, aligning with the awarded criteria and fostering a collaborative, sustainable future.</w:t>
            </w:r>
          </w:p>
        </w:tc>
      </w:tr>
    </w:tbl>
    <w:p>
      <w:pPr>
        <w:pStyle w:val="Normal"/>
        <w:rPr/>
      </w:pPr>
      <w:r>
        <w:rPr/>
      </w:r>
    </w:p>
    <w:tbl>
      <w:tblPr>
        <w:tblStyle w:val="TableGrid"/>
        <w:tblW w:w="898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986"/>
      </w:tblGrid>
      <w:tr>
        <w:trPr>
          <w:trHeight w:val="13407" w:hRule="atLeast"/>
        </w:trPr>
        <w:tc>
          <w:tcPr>
            <w:tcW w:w="8986" w:type="dxa"/>
            <w:tcBorders>
              <w:top w:val="single" w:sz="12" w:space="0" w:color="000000"/>
              <w:left w:val="single" w:sz="12" w:space="0" w:color="000000"/>
              <w:bottom w:val="nil"/>
              <w:right w:val="single" w:sz="12" w:space="0" w:color="000000"/>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13407" w:hRule="atLeast"/>
        </w:trPr>
        <w:tc>
          <w:tcPr>
            <w:tcW w:w="898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widowControl/>
        <w:bidi w:val="0"/>
        <w:spacing w:lineRule="auto" w:line="259" w:before="0" w:after="160"/>
        <w:jc w:val="left"/>
        <w:rPr/>
      </w:pPr>
      <w:r>
        <w:rPr/>
      </w:r>
    </w:p>
    <w:sectPr>
      <w:headerReference w:type="default" r:id="rId3"/>
      <w:type w:val="nextPage"/>
      <w:pgSz w:w="11906" w:h="16838"/>
      <w:pgMar w:left="1440" w:right="1440" w:gutter="0" w:header="708" w:top="1440" w:footer="0" w:bottom="1440"/>
      <w:pgBorders w:display="allPages" w:offsetFrom="page">
        <w:top w:val="single" w:sz="36" w:space="24" w:color="000000"/>
        <w:left w:val="single" w:sz="36" w:space="24" w:color="000000"/>
        <w:bottom w:val="single" w:sz="36" w:space="24" w:color="000000"/>
        <w:right w:val="single" w:sz="36"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Verdan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defaultTabStop w:val="720"/>
  <w:mailMerge>
    <w:mainDocumentType w:val="formLetters"/>
    <w:dataType w:val="textFile"/>
    <w:query w:val="SELECT * FROM Addresses.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5c0b"/>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b5c0b"/>
    <w:rPr/>
  </w:style>
  <w:style w:type="character" w:styleId="InternetLink">
    <w:name w:val="Hyperlink"/>
    <w:basedOn w:val="DefaultParagraphFont"/>
    <w:uiPriority w:val="99"/>
    <w:rsid w:val="00db5c0b"/>
    <w:rPr>
      <w:color w:val="0000FF"/>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db5c0b"/>
    <w:pPr>
      <w:tabs>
        <w:tab w:val="clear" w:pos="720"/>
        <w:tab w:val="center" w:pos="4513" w:leader="none"/>
        <w:tab w:val="right" w:pos="9026" w:leader="none"/>
      </w:tabs>
      <w:spacing w:lineRule="auto" w:line="240" w:before="0" w:after="0"/>
    </w:pPr>
    <w:rPr/>
  </w:style>
  <w:style w:type="paragraph" w:styleId="Revision">
    <w:name w:val="Revision"/>
    <w:uiPriority w:val="99"/>
    <w:semiHidden/>
    <w:qFormat/>
    <w:rsid w:val="00e70b6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ListParagraph">
    <w:name w:val="List Paragraph"/>
    <w:basedOn w:val="Normal"/>
    <w:uiPriority w:val="34"/>
    <w:qFormat/>
    <w:rsid w:val="00d66fcc"/>
    <w:pPr>
      <w:spacing w:before="0" w:after="16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b5c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LibreOffice/7.3.7.2$Windows_X86_64 LibreOffice_project/e114eadc50a9ff8d8c8a0567d6da8f454beeb84f</Application>
  <AppVersion>15.0000</AppVersion>
  <Pages>7</Pages>
  <Words>1366</Words>
  <Characters>8041</Characters>
  <CharactersWithSpaces>9705</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2023-07-27T09:34:00Z</dcterms:created>
  <dc:creator>Angelina Stebelska</dc:creator>
  <dc:description/>
  <dc:language>en-GB</dc:language>
  <cp:lastModifiedBy/>
  <dcterms:modified xsi:type="dcterms:W3CDTF">2024-01-30T12:19:03Z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