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wmf" ContentType="image/x-wmf"/>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35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354"/>
      </w:tblGrid>
      <w:tr>
        <w:trPr>
          <w:trHeight w:val="1134" w:hRule="exact"/>
        </w:trPr>
        <w:tc>
          <w:tcPr>
            <w:tcW w:w="9354" w:type="dxa"/>
            <w:tcBorders>
              <w:top w:val="nil"/>
              <w:left w:val="nil"/>
              <w:bottom w:val="nil"/>
              <w:right w:val="nil"/>
            </w:tcBorders>
          </w:tcPr>
          <w:p>
            <w:pPr>
              <w:pStyle w:val="Doctype"/>
              <w:widowControl w:val="false"/>
              <w:spacing w:before="0" w:after="0"/>
              <w:jc w:val="both"/>
              <w:rPr>
                <w:rFonts w:ascii="Times New Roman" w:hAnsi="Times New Roman" w:cs="font292"/>
                <w:kern w:val="0"/>
                <w:szCs w:val="24"/>
                <w:lang w:val="de-CH" w:eastAsia="en-US" w:bidi="ar-SA"/>
              </w:rPr>
            </w:pPr>
            <w:r>
              <w:rPr>
                <w:rFonts w:cs="font292"/>
                <w:kern w:val="0"/>
                <w:szCs w:val="24"/>
                <w:lang w:val="de-CH" w:eastAsia="en-US" w:bidi="ar-SA"/>
              </w:rPr>
              <w:t>Distribution Agreement</w:t>
            </w:r>
          </w:p>
        </w:tc>
      </w:tr>
    </w:tbl>
    <w:p>
      <w:pPr>
        <w:pStyle w:val="Text"/>
        <w:rPr/>
      </w:pPr>
      <w:r>
        <w:rPr/>
      </w:r>
    </w:p>
    <w:p>
      <w:pPr>
        <w:pStyle w:val="Text"/>
        <w:rPr/>
      </w:pPr>
      <w:r>
        <w:rPr/>
        <w:t>between</w:t>
      </w:r>
    </w:p>
    <w:p>
      <w:pPr>
        <w:pStyle w:val="RubrumBold"/>
        <w:jc w:val="left"/>
        <w:rPr/>
      </w:pPr>
      <w:r>
        <w:rPr/>
        <w:t>Anandic Medical Systems AG</w:t>
      </w:r>
    </w:p>
    <w:p>
      <w:pPr>
        <w:pStyle w:val="Normalwithoutspacing"/>
        <w:jc w:val="left"/>
        <w:rPr>
          <w:lang w:val="de-CH"/>
        </w:rPr>
      </w:pPr>
      <w:r>
        <w:rPr>
          <w:lang w:val="de-CH"/>
        </w:rPr>
        <w:t>Stadtweg 24, 8245 Feuerthalen, Switzerland,</w:t>
      </w:r>
    </w:p>
    <w:p>
      <w:pPr>
        <w:pStyle w:val="Normalwithoutspacing"/>
        <w:jc w:val="left"/>
        <w:rPr>
          <w:lang w:val="de-CH"/>
        </w:rPr>
      </w:pPr>
      <w:r>
        <w:rPr>
          <w:lang w:val="de-CH"/>
        </w:rPr>
        <w:t>CHE-108.103.259</w:t>
      </w:r>
    </w:p>
    <w:p>
      <w:pPr>
        <w:pStyle w:val="Text"/>
        <w:rPr/>
      </w:pPr>
      <w:r>
        <w:rPr/>
      </w:r>
    </w:p>
    <w:p>
      <w:pPr>
        <w:pStyle w:val="Normalwithoutspacing"/>
        <w:jc w:val="center"/>
        <w:rPr/>
      </w:pPr>
      <w:r>
        <w:rPr/>
        <w:t>“</w:t>
      </w:r>
      <w:r>
        <w:rPr/>
        <w:t>Anandic”</w:t>
      </w:r>
    </w:p>
    <w:p>
      <w:pPr>
        <w:pStyle w:val="Text"/>
        <w:jc w:val="center"/>
        <w:rPr/>
      </w:pPr>
      <w:r>
        <w:rPr/>
        <w:t>and</w:t>
      </w:r>
    </w:p>
    <w:p>
      <w:pPr>
        <w:pStyle w:val="Text"/>
        <w:rPr/>
      </w:pPr>
      <w:r>
        <w:rPr/>
      </w:r>
    </w:p>
    <w:p>
      <w:pPr>
        <w:pStyle w:val="Normalwithoutspacing"/>
        <w:jc w:val="left"/>
        <w:rPr>
          <w:lang w:val="de-CH"/>
        </w:rPr>
      </w:pPr>
      <w:r>
        <w:rPr>
          <w:lang w:val="de-CH"/>
        </w:rPr>
        <w:t>Viamed LTD</w:t>
      </w:r>
    </w:p>
    <w:p>
      <w:pPr>
        <w:pStyle w:val="Normalwithoutspacing"/>
        <w:jc w:val="left"/>
        <w:rPr>
          <w:lang w:val="de-CH"/>
        </w:rPr>
      </w:pPr>
      <w:r>
        <w:rPr>
          <w:lang w:val="de-CH"/>
        </w:rPr>
      </w:r>
    </w:p>
    <w:p>
      <w:pPr>
        <w:pStyle w:val="Normalwithoutspacing"/>
        <w:jc w:val="left"/>
        <w:rPr>
          <w:lang w:val="de-CH"/>
        </w:rPr>
      </w:pPr>
      <w:r>
        <w:rPr>
          <w:lang w:val="de-CH"/>
        </w:rPr>
        <w:t>EORI NR: GB287389593000</w:t>
      </w:r>
    </w:p>
    <w:p>
      <w:pPr>
        <w:pStyle w:val="Normalwithoutspacing"/>
        <w:jc w:val="left"/>
        <w:rPr>
          <w:lang w:val="de-CH"/>
        </w:rPr>
      </w:pPr>
      <w:r>
        <w:rPr>
          <w:lang w:val="de-CH"/>
        </w:rPr>
        <w:t>15 Station Road</w:t>
      </w:r>
    </w:p>
    <w:p>
      <w:pPr>
        <w:pStyle w:val="Normalwithoutspacing"/>
        <w:jc w:val="left"/>
        <w:rPr>
          <w:lang w:val="en-GB"/>
        </w:rPr>
      </w:pPr>
      <w:r>
        <w:rPr>
          <w:lang w:val="en-GB"/>
        </w:rPr>
        <w:t>Cross Hills, Keighley/West Yorkshire</w:t>
      </w:r>
    </w:p>
    <w:p>
      <w:pPr>
        <w:pStyle w:val="Normalwithoutspacing"/>
        <w:jc w:val="left"/>
        <w:rPr>
          <w:lang w:val="de-CH"/>
        </w:rPr>
      </w:pPr>
      <w:r>
        <w:rPr>
          <w:lang w:val="de-CH"/>
        </w:rPr>
        <w:t>BD20 7DT</w:t>
      </w:r>
    </w:p>
    <w:p>
      <w:pPr>
        <w:pStyle w:val="Normalwithoutspacing"/>
        <w:jc w:val="left"/>
        <w:rPr>
          <w:lang w:val="de-CH"/>
        </w:rPr>
      </w:pPr>
      <w:r>
        <w:rPr>
          <w:lang w:val="de-CH"/>
        </w:rPr>
        <w:t>United Kingdom</w:t>
      </w:r>
    </w:p>
    <w:tbl>
      <w:tblPr>
        <w:tblStyle w:val="TableGrid"/>
        <w:tblW w:w="935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6189"/>
        <w:gridCol w:w="3164"/>
      </w:tblGrid>
      <w:tr>
        <w:trPr/>
        <w:tc>
          <w:tcPr>
            <w:tcW w:w="6189" w:type="dxa"/>
            <w:tcBorders>
              <w:top w:val="nil"/>
              <w:left w:val="nil"/>
              <w:bottom w:val="nil"/>
              <w:right w:val="nil"/>
            </w:tcBorders>
          </w:tcPr>
          <w:p>
            <w:pPr>
              <w:pStyle w:val="Normalwithoutspacing"/>
              <w:widowControl w:val="false"/>
              <w:jc w:val="left"/>
              <w:rPr>
                <w:rFonts w:ascii="Times New Roman" w:hAnsi="Times New Roman" w:cs="font292"/>
                <w:kern w:val="0"/>
                <w:sz w:val="24"/>
                <w:szCs w:val="24"/>
                <w:lang w:eastAsia="en-US" w:bidi="ar-SA"/>
              </w:rPr>
            </w:pPr>
            <w:r>
              <w:rPr>
                <w:rFonts w:cs="font292"/>
                <w:kern w:val="0"/>
                <w:sz w:val="24"/>
                <w:szCs w:val="24"/>
                <w:lang w:eastAsia="en-US" w:bidi="ar-SA"/>
              </w:rPr>
            </w:r>
          </w:p>
        </w:tc>
        <w:tc>
          <w:tcPr>
            <w:tcW w:w="3164" w:type="dxa"/>
            <w:tcBorders>
              <w:top w:val="nil"/>
              <w:left w:val="nil"/>
              <w:bottom w:val="nil"/>
              <w:right w:val="nil"/>
            </w:tcBorders>
            <w:vAlign w:val="bottom"/>
          </w:tcPr>
          <w:p>
            <w:pPr>
              <w:pStyle w:val="Partei"/>
              <w:widowControl w:val="false"/>
              <w:spacing w:before="0" w:after="0"/>
              <w:rPr>
                <w:b w:val="false"/>
                <w:b w:val="false"/>
                <w:lang w:val="en-US"/>
              </w:rPr>
            </w:pPr>
            <w:r>
              <w:rPr>
                <w:b w:val="false"/>
                <w:lang w:val="en-US"/>
              </w:rPr>
            </w:r>
          </w:p>
          <w:p>
            <w:pPr>
              <w:pStyle w:val="Partei"/>
              <w:widowControl w:val="false"/>
              <w:spacing w:before="0" w:after="0"/>
              <w:rPr>
                <w:lang w:val="en-US"/>
              </w:rPr>
            </w:pPr>
            <w:r>
              <w:rPr>
                <w:rFonts w:cs="font292"/>
                <w:b w:val="false"/>
                <w:kern w:val="0"/>
                <w:sz w:val="24"/>
                <w:szCs w:val="24"/>
                <w:lang w:val="en-US" w:eastAsia="en-US" w:bidi="ar-SA"/>
              </w:rPr>
              <w:t>"</w:t>
            </w:r>
            <w:r>
              <w:rPr>
                <w:rFonts w:cs="font292"/>
                <w:kern w:val="0"/>
                <w:sz w:val="24"/>
                <w:szCs w:val="24"/>
                <w:lang w:val="en-US" w:eastAsia="en-US" w:bidi="ar-SA"/>
              </w:rPr>
              <w:t>Distributor</w:t>
            </w:r>
            <w:r>
              <w:rPr>
                <w:rFonts w:cs="font292"/>
                <w:b w:val="false"/>
                <w:kern w:val="0"/>
                <w:sz w:val="24"/>
                <w:szCs w:val="24"/>
                <w:lang w:val="en-US" w:eastAsia="en-US" w:bidi="ar-SA"/>
              </w:rPr>
              <w:t>"</w:t>
            </w:r>
          </w:p>
        </w:tc>
      </w:tr>
    </w:tbl>
    <w:p>
      <w:pPr>
        <w:pStyle w:val="Text"/>
        <w:jc w:val="right"/>
        <w:rPr/>
      </w:pPr>
      <w:r>
        <w:rPr/>
      </w:r>
    </w:p>
    <w:p>
      <w:pPr>
        <w:pStyle w:val="Text"/>
        <w:rPr/>
      </w:pPr>
      <w:r>
        <w:rPr/>
        <w:t>Distributor and Anandic jointly the "</w:t>
      </w:r>
      <w:r>
        <w:rPr>
          <w:b/>
        </w:rPr>
        <w:t>Parties</w:t>
      </w:r>
      <w:r>
        <w:rPr/>
        <w:t>" and individually each a "</w:t>
      </w:r>
      <w:r>
        <w:rPr>
          <w:b/>
        </w:rPr>
        <w:t>Party</w:t>
      </w:r>
      <w:r>
        <w:rPr/>
        <w:t>"</w:t>
      </w:r>
    </w:p>
    <w:p>
      <w:pPr>
        <w:pStyle w:val="Text"/>
        <w:rPr/>
      </w:pPr>
      <w:r>
        <w:rPr/>
      </w:r>
    </w:p>
    <w:p>
      <w:pPr>
        <w:pStyle w:val="Text"/>
        <w:rPr/>
      </w:pPr>
      <w:r>
        <w:rPr/>
        <w:t>regarding</w:t>
      </w:r>
    </w:p>
    <w:p>
      <w:pPr>
        <w:pStyle w:val="Text"/>
        <w:rPr/>
      </w:pPr>
      <w:r>
        <w:rPr/>
      </w:r>
    </w:p>
    <w:p>
      <w:pPr>
        <w:pStyle w:val="Text"/>
        <w:rPr/>
      </w:pPr>
      <w:r>
        <w:rPr/>
        <w:t>the exclusive distribution of Medker products</w:t>
      </w:r>
    </w:p>
    <w:p>
      <w:pPr>
        <w:pStyle w:val="Normal"/>
        <w:rPr>
          <w:rFonts w:eastAsia="Times New Roman"/>
          <w:lang w:val="en-US"/>
        </w:rPr>
      </w:pPr>
      <w:r>
        <w:rPr>
          <w:rFonts w:eastAsia="Times New Roman"/>
          <w:lang w:val="en-US"/>
        </w:rPr>
      </w:r>
      <w:r>
        <w:br w:type="page"/>
      </w:r>
    </w:p>
    <w:p>
      <w:pPr>
        <w:pStyle w:val="Contents1"/>
        <w:rPr>
          <w:sz w:val="26"/>
        </w:rPr>
      </w:pPr>
      <w:r>
        <w:rPr/>
        <w:t>Table of Contents</w:t>
      </w:r>
    </w:p>
    <w:sdt>
      <w:sdtPr>
        <w:docPartObj>
          <w:docPartGallery w:val="Table of Contents"/>
          <w:docPartUnique w:val="true"/>
        </w:docPartObj>
      </w:sdtPr>
      <w:sdtContent>
        <w:p>
          <w:pPr>
            <w:pStyle w:val="Contents1"/>
            <w:rPr>
              <w:rFonts w:ascii="Calibri" w:hAnsi="Calibri" w:eastAsia="" w:cs="" w:asciiTheme="minorHAnsi" w:cstheme="minorBidi" w:eastAsiaTheme="minorEastAsia" w:hAnsiTheme="minorHAnsi"/>
              <w:b w:val="false"/>
              <w:b w:val="false"/>
              <w:sz w:val="22"/>
              <w:szCs w:val="22"/>
              <w:lang w:val="de-CH" w:eastAsia="de-CH"/>
            </w:rPr>
          </w:pPr>
          <w:r>
            <w:fldChar w:fldCharType="begin"/>
          </w:r>
          <w:r>
            <w:rPr>
              <w:webHidden/>
              <w:rStyle w:val="IndexLink"/>
              <w:vanish w:val="false"/>
            </w:rPr>
            <w:instrText xml:space="preserve"> TOC \z \o "1-9" \h</w:instrText>
          </w:r>
          <w:r>
            <w:rPr>
              <w:webHidden/>
              <w:rStyle w:val="IndexLink"/>
              <w:vanish w:val="false"/>
            </w:rPr>
            <w:fldChar w:fldCharType="separate"/>
          </w:r>
          <w:hyperlink w:anchor="_Toc99036774">
            <w:r>
              <w:rPr>
                <w:webHidden/>
              </w:rPr>
              <w:fldChar w:fldCharType="begin"/>
            </w:r>
            <w:r>
              <w:rPr>
                <w:webHidden/>
              </w:rPr>
              <w:instrText xml:space="preserve">PAGEREF _Toc99036774 \h</w:instrText>
            </w:r>
            <w:r>
              <w:rPr>
                <w:webHidden/>
              </w:rPr>
              <w:fldChar w:fldCharType="separate"/>
            </w:r>
            <w:r>
              <w:rPr>
                <w:webHidden/>
                <w:rStyle w:val="IndexLink"/>
                <w:vanish w:val="false"/>
              </w:rPr>
              <w:t>Table of Schedules</w:t>
              <w:tab/>
              <w:t>3</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75">
            <w:r>
              <w:rPr>
                <w:webHidden/>
                <w:rStyle w:val="IndexLink"/>
                <w:vanish w:val="false"/>
              </w:rPr>
              <w:t>1.</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Distribution</w:t>
            </w:r>
            <w:r>
              <w:rPr>
                <w:webHidden/>
              </w:rPr>
              <w:fldChar w:fldCharType="begin"/>
            </w:r>
            <w:r>
              <w:rPr>
                <w:webHidden/>
              </w:rPr>
              <w:instrText xml:space="preserve">PAGEREF _Toc99036775 \h</w:instrText>
            </w:r>
            <w:r>
              <w:rPr>
                <w:webHidden/>
              </w:rPr>
              <w:fldChar w:fldCharType="separate"/>
            </w:r>
            <w:r>
              <w:rPr>
                <w:rStyle w:val="IndexLink"/>
                <w:vanish w:val="false"/>
              </w:rPr>
              <w:tab/>
              <w:t>4</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76">
            <w:r>
              <w:rPr>
                <w:webHidden/>
                <w:rStyle w:val="IndexLink"/>
                <w:vanish w:val="false"/>
              </w:rPr>
              <w:t>1.1</w:t>
            </w:r>
            <w:r>
              <w:rPr>
                <w:rStyle w:val="IndexLink"/>
                <w:rFonts w:eastAsia="" w:cs="" w:ascii="Calibri" w:hAnsi="Calibri" w:asciiTheme="minorHAnsi" w:cstheme="minorBidi" w:eastAsiaTheme="minorEastAsia" w:hAnsiTheme="minorHAnsi"/>
                <w:sz w:val="22"/>
                <w:szCs w:val="22"/>
                <w:lang w:eastAsia="de-CH"/>
              </w:rPr>
              <w:tab/>
            </w:r>
            <w:r>
              <w:rPr>
                <w:rStyle w:val="IndexLink"/>
              </w:rPr>
              <w:t>Appointment</w:t>
            </w:r>
            <w:r>
              <w:rPr>
                <w:webHidden/>
              </w:rPr>
              <w:fldChar w:fldCharType="begin"/>
            </w:r>
            <w:r>
              <w:rPr>
                <w:webHidden/>
              </w:rPr>
              <w:instrText xml:space="preserve">PAGEREF _Toc99036776 \h</w:instrText>
            </w:r>
            <w:r>
              <w:rPr>
                <w:webHidden/>
              </w:rPr>
              <w:fldChar w:fldCharType="separate"/>
            </w:r>
            <w:r>
              <w:rPr>
                <w:rStyle w:val="IndexLink"/>
                <w:vanish w:val="false"/>
              </w:rPr>
              <w:tab/>
              <w:t>4</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77">
            <w:r>
              <w:rPr>
                <w:webHidden/>
                <w:rStyle w:val="IndexLink"/>
                <w:vanish w:val="false"/>
              </w:rPr>
              <w:t>1.2</w:t>
            </w:r>
            <w:r>
              <w:rPr>
                <w:rStyle w:val="IndexLink"/>
                <w:rFonts w:eastAsia="" w:cs="" w:ascii="Calibri" w:hAnsi="Calibri" w:asciiTheme="minorHAnsi" w:cstheme="minorBidi" w:eastAsiaTheme="minorEastAsia" w:hAnsiTheme="minorHAnsi"/>
                <w:sz w:val="22"/>
                <w:szCs w:val="22"/>
                <w:lang w:eastAsia="de-CH"/>
              </w:rPr>
              <w:tab/>
            </w:r>
            <w:r>
              <w:rPr>
                <w:rStyle w:val="IndexLink"/>
              </w:rPr>
              <w:t>Products and Territory</w:t>
            </w:r>
            <w:r>
              <w:rPr>
                <w:webHidden/>
              </w:rPr>
              <w:fldChar w:fldCharType="begin"/>
            </w:r>
            <w:r>
              <w:rPr>
                <w:webHidden/>
              </w:rPr>
              <w:instrText xml:space="preserve">PAGEREF _Toc99036777 \h</w:instrText>
            </w:r>
            <w:r>
              <w:rPr>
                <w:webHidden/>
              </w:rPr>
              <w:fldChar w:fldCharType="separate"/>
            </w:r>
            <w:r>
              <w:rPr>
                <w:rStyle w:val="IndexLink"/>
                <w:vanish w:val="false"/>
              </w:rPr>
              <w:tab/>
              <w:t>4</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78">
            <w:r>
              <w:rPr>
                <w:webHidden/>
                <w:rStyle w:val="IndexLink"/>
                <w:vanish w:val="false"/>
              </w:rPr>
              <w:t>1.3</w:t>
            </w:r>
            <w:r>
              <w:rPr>
                <w:rStyle w:val="IndexLink"/>
                <w:rFonts w:eastAsia="" w:cs="" w:ascii="Calibri" w:hAnsi="Calibri" w:asciiTheme="minorHAnsi" w:cstheme="minorBidi" w:eastAsiaTheme="minorEastAsia" w:hAnsiTheme="minorHAnsi"/>
                <w:sz w:val="22"/>
                <w:szCs w:val="22"/>
                <w:lang w:eastAsia="de-CH"/>
              </w:rPr>
              <w:tab/>
            </w:r>
            <w:r>
              <w:rPr>
                <w:rStyle w:val="IndexLink"/>
              </w:rPr>
              <w:t>Exclusivity and Non-Compete</w:t>
            </w:r>
            <w:r>
              <w:rPr>
                <w:webHidden/>
              </w:rPr>
              <w:fldChar w:fldCharType="begin"/>
            </w:r>
            <w:r>
              <w:rPr>
                <w:webHidden/>
              </w:rPr>
              <w:instrText xml:space="preserve">PAGEREF _Toc99036778 \h</w:instrText>
            </w:r>
            <w:r>
              <w:rPr>
                <w:webHidden/>
              </w:rPr>
              <w:fldChar w:fldCharType="separate"/>
            </w:r>
            <w:r>
              <w:rPr>
                <w:rStyle w:val="IndexLink"/>
                <w:vanish w:val="false"/>
              </w:rPr>
              <w:tab/>
              <w:t>5</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79">
            <w:r>
              <w:rPr>
                <w:webHidden/>
                <w:rStyle w:val="IndexLink"/>
                <w:vanish w:val="false"/>
              </w:rPr>
              <w:t>2.</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Terms of Sale</w:t>
            </w:r>
            <w:r>
              <w:rPr>
                <w:webHidden/>
              </w:rPr>
              <w:fldChar w:fldCharType="begin"/>
            </w:r>
            <w:r>
              <w:rPr>
                <w:webHidden/>
              </w:rPr>
              <w:instrText xml:space="preserve">PAGEREF _Toc99036779 \h</w:instrText>
            </w:r>
            <w:r>
              <w:rPr>
                <w:webHidden/>
              </w:rPr>
              <w:fldChar w:fldCharType="separate"/>
            </w:r>
            <w:r>
              <w:rPr>
                <w:rStyle w:val="IndexLink"/>
                <w:vanish w:val="false"/>
              </w:rPr>
              <w:tab/>
              <w:t>5</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0">
            <w:r>
              <w:rPr>
                <w:webHidden/>
                <w:rStyle w:val="IndexLink"/>
                <w:vanish w:val="false"/>
              </w:rPr>
              <w:t>2.1</w:t>
            </w:r>
            <w:r>
              <w:rPr>
                <w:rStyle w:val="IndexLink"/>
                <w:rFonts w:eastAsia="" w:cs="" w:ascii="Calibri" w:hAnsi="Calibri" w:asciiTheme="minorHAnsi" w:cstheme="minorBidi" w:eastAsiaTheme="minorEastAsia" w:hAnsiTheme="minorHAnsi"/>
                <w:sz w:val="22"/>
                <w:szCs w:val="22"/>
                <w:lang w:eastAsia="de-CH"/>
              </w:rPr>
              <w:tab/>
            </w:r>
            <w:r>
              <w:rPr>
                <w:rStyle w:val="IndexLink"/>
              </w:rPr>
              <w:t>Forecasts</w:t>
            </w:r>
            <w:r>
              <w:rPr>
                <w:webHidden/>
              </w:rPr>
              <w:fldChar w:fldCharType="begin"/>
            </w:r>
            <w:r>
              <w:rPr>
                <w:webHidden/>
              </w:rPr>
              <w:instrText xml:space="preserve">PAGEREF _Toc99036780 \h</w:instrText>
            </w:r>
            <w:r>
              <w:rPr>
                <w:webHidden/>
              </w:rPr>
              <w:fldChar w:fldCharType="separate"/>
            </w:r>
            <w:r>
              <w:rPr>
                <w:rStyle w:val="IndexLink"/>
                <w:vanish w:val="false"/>
              </w:rPr>
              <w:tab/>
              <w:t>5</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1">
            <w:r>
              <w:rPr>
                <w:webHidden/>
                <w:rStyle w:val="IndexLink"/>
                <w:vanish w:val="false"/>
              </w:rPr>
              <w:t>2.2</w:t>
            </w:r>
            <w:r>
              <w:rPr>
                <w:rStyle w:val="IndexLink"/>
                <w:rFonts w:eastAsia="" w:cs="" w:ascii="Calibri" w:hAnsi="Calibri" w:asciiTheme="minorHAnsi" w:cstheme="minorBidi" w:eastAsiaTheme="minorEastAsia" w:hAnsiTheme="minorHAnsi"/>
                <w:sz w:val="22"/>
                <w:szCs w:val="22"/>
                <w:lang w:eastAsia="de-CH"/>
              </w:rPr>
              <w:tab/>
            </w:r>
            <w:r>
              <w:rPr>
                <w:rStyle w:val="IndexLink"/>
              </w:rPr>
              <w:t>Ordering of Products</w:t>
            </w:r>
            <w:r>
              <w:rPr>
                <w:webHidden/>
              </w:rPr>
              <w:fldChar w:fldCharType="begin"/>
            </w:r>
            <w:r>
              <w:rPr>
                <w:webHidden/>
              </w:rPr>
              <w:instrText xml:space="preserve">PAGEREF _Toc99036781 \h</w:instrText>
            </w:r>
            <w:r>
              <w:rPr>
                <w:webHidden/>
              </w:rPr>
              <w:fldChar w:fldCharType="separate"/>
            </w:r>
            <w:r>
              <w:rPr>
                <w:rStyle w:val="IndexLink"/>
                <w:vanish w:val="false"/>
              </w:rPr>
              <w:tab/>
              <w:t>5</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2">
            <w:r>
              <w:rPr>
                <w:webHidden/>
                <w:rStyle w:val="IndexLink"/>
                <w:vanish w:val="false"/>
              </w:rPr>
              <w:t>2.3</w:t>
            </w:r>
            <w:r>
              <w:rPr>
                <w:rStyle w:val="IndexLink"/>
                <w:rFonts w:eastAsia="" w:cs="" w:ascii="Calibri" w:hAnsi="Calibri" w:asciiTheme="minorHAnsi" w:cstheme="minorBidi" w:eastAsiaTheme="minorEastAsia" w:hAnsiTheme="minorHAnsi"/>
                <w:sz w:val="22"/>
                <w:szCs w:val="22"/>
                <w:lang w:eastAsia="de-CH"/>
              </w:rPr>
              <w:tab/>
            </w:r>
            <w:r>
              <w:rPr>
                <w:rStyle w:val="IndexLink"/>
              </w:rPr>
              <w:t>Delivery, Transfer of Risk and Title</w:t>
            </w:r>
            <w:r>
              <w:rPr>
                <w:webHidden/>
              </w:rPr>
              <w:fldChar w:fldCharType="begin"/>
            </w:r>
            <w:r>
              <w:rPr>
                <w:webHidden/>
              </w:rPr>
              <w:instrText xml:space="preserve">PAGEREF _Toc99036782 \h</w:instrText>
            </w:r>
            <w:r>
              <w:rPr>
                <w:webHidden/>
              </w:rPr>
              <w:fldChar w:fldCharType="separate"/>
            </w:r>
            <w:r>
              <w:rPr>
                <w:rStyle w:val="IndexLink"/>
                <w:vanish w:val="false"/>
              </w:rPr>
              <w:tab/>
              <w:t>6</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3">
            <w:r>
              <w:rPr>
                <w:webHidden/>
                <w:rStyle w:val="IndexLink"/>
                <w:vanish w:val="false"/>
              </w:rPr>
              <w:t>2.4</w:t>
            </w:r>
            <w:r>
              <w:rPr>
                <w:rStyle w:val="IndexLink"/>
                <w:rFonts w:eastAsia="" w:cs="" w:ascii="Calibri" w:hAnsi="Calibri" w:asciiTheme="minorHAnsi" w:cstheme="minorBidi" w:eastAsiaTheme="minorEastAsia" w:hAnsiTheme="minorHAnsi"/>
                <w:sz w:val="22"/>
                <w:szCs w:val="22"/>
                <w:lang w:eastAsia="de-CH"/>
              </w:rPr>
              <w:tab/>
            </w:r>
            <w:r>
              <w:rPr>
                <w:rStyle w:val="IndexLink"/>
              </w:rPr>
              <w:t>Pricing and Payment terms</w:t>
            </w:r>
            <w:r>
              <w:rPr>
                <w:webHidden/>
              </w:rPr>
              <w:fldChar w:fldCharType="begin"/>
            </w:r>
            <w:r>
              <w:rPr>
                <w:webHidden/>
              </w:rPr>
              <w:instrText xml:space="preserve">PAGEREF _Toc99036783 \h</w:instrText>
            </w:r>
            <w:r>
              <w:rPr>
                <w:webHidden/>
              </w:rPr>
              <w:fldChar w:fldCharType="separate"/>
            </w:r>
            <w:r>
              <w:rPr>
                <w:rStyle w:val="IndexLink"/>
                <w:vanish w:val="false"/>
              </w:rPr>
              <w:tab/>
              <w:t>6</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84">
            <w:r>
              <w:rPr>
                <w:webHidden/>
                <w:rStyle w:val="IndexLink"/>
                <w:vanish w:val="false"/>
              </w:rPr>
              <w:t>3.</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Quality, Warranty and Liability</w:t>
            </w:r>
            <w:r>
              <w:rPr>
                <w:webHidden/>
              </w:rPr>
              <w:fldChar w:fldCharType="begin"/>
            </w:r>
            <w:r>
              <w:rPr>
                <w:webHidden/>
              </w:rPr>
              <w:instrText xml:space="preserve">PAGEREF _Toc99036784 \h</w:instrText>
            </w:r>
            <w:r>
              <w:rPr>
                <w:webHidden/>
              </w:rPr>
              <w:fldChar w:fldCharType="separate"/>
            </w:r>
            <w:r>
              <w:rPr>
                <w:rStyle w:val="IndexLink"/>
                <w:vanish w:val="false"/>
              </w:rPr>
              <w:tab/>
              <w:t>6</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5">
            <w:r>
              <w:rPr>
                <w:webHidden/>
                <w:rStyle w:val="IndexLink"/>
                <w:vanish w:val="false"/>
              </w:rPr>
              <w:t>3.1</w:t>
            </w:r>
            <w:r>
              <w:rPr>
                <w:rStyle w:val="IndexLink"/>
                <w:rFonts w:eastAsia="" w:cs="" w:ascii="Calibri" w:hAnsi="Calibri" w:asciiTheme="minorHAnsi" w:cstheme="minorBidi" w:eastAsiaTheme="minorEastAsia" w:hAnsiTheme="minorHAnsi"/>
                <w:sz w:val="22"/>
                <w:szCs w:val="22"/>
                <w:lang w:eastAsia="de-CH"/>
              </w:rPr>
              <w:tab/>
            </w:r>
            <w:r>
              <w:rPr>
                <w:rStyle w:val="IndexLink"/>
              </w:rPr>
              <w:t>Quality and Product Warranty</w:t>
            </w:r>
            <w:r>
              <w:rPr>
                <w:webHidden/>
              </w:rPr>
              <w:fldChar w:fldCharType="begin"/>
            </w:r>
            <w:r>
              <w:rPr>
                <w:webHidden/>
              </w:rPr>
              <w:instrText xml:space="preserve">PAGEREF _Toc99036785 \h</w:instrText>
            </w:r>
            <w:r>
              <w:rPr>
                <w:webHidden/>
              </w:rPr>
              <w:fldChar w:fldCharType="separate"/>
            </w:r>
            <w:r>
              <w:rPr>
                <w:rStyle w:val="IndexLink"/>
                <w:vanish w:val="false"/>
              </w:rPr>
              <w:tab/>
              <w:t>6</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6">
            <w:r>
              <w:rPr>
                <w:webHidden/>
                <w:rStyle w:val="IndexLink"/>
                <w:vanish w:val="false"/>
              </w:rPr>
              <w:t>3.2</w:t>
            </w:r>
            <w:r>
              <w:rPr>
                <w:rStyle w:val="IndexLink"/>
                <w:rFonts w:eastAsia="" w:cs="" w:ascii="Calibri" w:hAnsi="Calibri" w:asciiTheme="minorHAnsi" w:cstheme="minorBidi" w:eastAsiaTheme="minorEastAsia" w:hAnsiTheme="minorHAnsi"/>
                <w:sz w:val="22"/>
                <w:szCs w:val="22"/>
                <w:lang w:eastAsia="de-CH"/>
              </w:rPr>
              <w:tab/>
            </w:r>
            <w:r>
              <w:rPr>
                <w:rStyle w:val="IndexLink"/>
              </w:rPr>
              <w:t>Liability</w:t>
            </w:r>
            <w:r>
              <w:rPr>
                <w:webHidden/>
              </w:rPr>
              <w:fldChar w:fldCharType="begin"/>
            </w:r>
            <w:r>
              <w:rPr>
                <w:webHidden/>
              </w:rPr>
              <w:instrText xml:space="preserve">PAGEREF _Toc99036786 \h</w:instrText>
            </w:r>
            <w:r>
              <w:rPr>
                <w:webHidden/>
              </w:rPr>
              <w:fldChar w:fldCharType="separate"/>
            </w:r>
            <w:r>
              <w:rPr>
                <w:rStyle w:val="IndexLink"/>
                <w:vanish w:val="false"/>
              </w:rPr>
              <w:tab/>
              <w:t>7</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7">
            <w:r>
              <w:rPr>
                <w:webHidden/>
                <w:rStyle w:val="IndexLink"/>
                <w:vanish w:val="false"/>
              </w:rPr>
              <w:t>3.3</w:t>
            </w:r>
            <w:r>
              <w:rPr>
                <w:rStyle w:val="IndexLink"/>
                <w:rFonts w:eastAsia="" w:cs="" w:ascii="Calibri" w:hAnsi="Calibri" w:asciiTheme="minorHAnsi" w:cstheme="minorBidi" w:eastAsiaTheme="minorEastAsia" w:hAnsiTheme="minorHAnsi"/>
                <w:sz w:val="22"/>
                <w:szCs w:val="22"/>
                <w:lang w:eastAsia="de-CH"/>
              </w:rPr>
              <w:tab/>
            </w:r>
            <w:r>
              <w:rPr>
                <w:rStyle w:val="IndexLink"/>
              </w:rPr>
              <w:t>Insurance</w:t>
            </w:r>
            <w:r>
              <w:rPr>
                <w:webHidden/>
              </w:rPr>
              <w:fldChar w:fldCharType="begin"/>
            </w:r>
            <w:r>
              <w:rPr>
                <w:webHidden/>
              </w:rPr>
              <w:instrText xml:space="preserve">PAGEREF _Toc99036787 \h</w:instrText>
            </w:r>
            <w:r>
              <w:rPr>
                <w:webHidden/>
              </w:rPr>
              <w:fldChar w:fldCharType="separate"/>
            </w:r>
            <w:r>
              <w:rPr>
                <w:rStyle w:val="IndexLink"/>
                <w:vanish w:val="false"/>
              </w:rPr>
              <w:tab/>
              <w:t>7</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88">
            <w:r>
              <w:rPr>
                <w:webHidden/>
                <w:rStyle w:val="IndexLink"/>
                <w:vanish w:val="false"/>
              </w:rPr>
              <w:t>4.</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Marketing Activities , Customer Support and Sales Targets</w:t>
            </w:r>
            <w:r>
              <w:rPr>
                <w:webHidden/>
              </w:rPr>
              <w:fldChar w:fldCharType="begin"/>
            </w:r>
            <w:r>
              <w:rPr>
                <w:webHidden/>
              </w:rPr>
              <w:instrText xml:space="preserve">PAGEREF _Toc99036788 \h</w:instrText>
            </w:r>
            <w:r>
              <w:rPr>
                <w:webHidden/>
              </w:rPr>
              <w:fldChar w:fldCharType="separate"/>
            </w:r>
            <w:r>
              <w:rPr>
                <w:rStyle w:val="IndexLink"/>
                <w:vanish w:val="false"/>
              </w:rPr>
              <w:tab/>
              <w:t>7</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9">
            <w:r>
              <w:rPr>
                <w:webHidden/>
                <w:rStyle w:val="IndexLink"/>
                <w:vanish w:val="false"/>
              </w:rPr>
              <w:t>4.1</w:t>
            </w:r>
            <w:r>
              <w:rPr>
                <w:rStyle w:val="IndexLink"/>
                <w:rFonts w:eastAsia="" w:cs="" w:ascii="Calibri" w:hAnsi="Calibri" w:asciiTheme="minorHAnsi" w:cstheme="minorBidi" w:eastAsiaTheme="minorEastAsia" w:hAnsiTheme="minorHAnsi"/>
                <w:sz w:val="22"/>
                <w:szCs w:val="22"/>
                <w:lang w:eastAsia="de-CH"/>
              </w:rPr>
              <w:tab/>
            </w:r>
            <w:r>
              <w:rPr>
                <w:rStyle w:val="IndexLink"/>
              </w:rPr>
              <w:t>Distributor’s Obligations</w:t>
            </w:r>
            <w:r>
              <w:rPr>
                <w:webHidden/>
              </w:rPr>
              <w:fldChar w:fldCharType="begin"/>
            </w:r>
            <w:r>
              <w:rPr>
                <w:webHidden/>
              </w:rPr>
              <w:instrText xml:space="preserve">PAGEREF _Toc99036789 \h</w:instrText>
            </w:r>
            <w:r>
              <w:rPr>
                <w:webHidden/>
              </w:rPr>
              <w:fldChar w:fldCharType="separate"/>
            </w:r>
            <w:r>
              <w:rPr>
                <w:rStyle w:val="IndexLink"/>
                <w:vanish w:val="false"/>
              </w:rPr>
              <w:tab/>
              <w:t>7</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90">
            <w:r>
              <w:rPr>
                <w:webHidden/>
                <w:rStyle w:val="IndexLink"/>
                <w:vanish w:val="false"/>
              </w:rPr>
              <w:t>4.2</w:t>
            </w:r>
            <w:r>
              <w:rPr>
                <w:rStyle w:val="IndexLink"/>
                <w:rFonts w:eastAsia="" w:cs="" w:ascii="Calibri" w:hAnsi="Calibri" w:asciiTheme="minorHAnsi" w:cstheme="minorBidi" w:eastAsiaTheme="minorEastAsia" w:hAnsiTheme="minorHAnsi"/>
                <w:sz w:val="22"/>
                <w:szCs w:val="22"/>
                <w:lang w:eastAsia="de-CH"/>
              </w:rPr>
              <w:tab/>
            </w:r>
            <w:r>
              <w:rPr>
                <w:rStyle w:val="IndexLink"/>
              </w:rPr>
              <w:t>Anandic's obligations</w:t>
            </w:r>
            <w:r>
              <w:rPr>
                <w:webHidden/>
              </w:rPr>
              <w:fldChar w:fldCharType="begin"/>
            </w:r>
            <w:r>
              <w:rPr>
                <w:webHidden/>
              </w:rPr>
              <w:instrText xml:space="preserve">PAGEREF _Toc99036790 \h</w:instrText>
            </w:r>
            <w:r>
              <w:rPr>
                <w:webHidden/>
              </w:rPr>
              <w:fldChar w:fldCharType="separate"/>
            </w:r>
            <w:r>
              <w:rPr>
                <w:rStyle w:val="IndexLink"/>
                <w:vanish w:val="false"/>
              </w:rPr>
              <w:tab/>
              <w:t>8</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91">
            <w:r>
              <w:rPr>
                <w:webHidden/>
                <w:rStyle w:val="IndexLink"/>
                <w:vanish w:val="false"/>
              </w:rPr>
              <w:t>4.3</w:t>
            </w:r>
            <w:r>
              <w:rPr>
                <w:rStyle w:val="IndexLink"/>
                <w:rFonts w:eastAsia="" w:cs="" w:ascii="Calibri" w:hAnsi="Calibri" w:asciiTheme="minorHAnsi" w:cstheme="minorBidi" w:eastAsiaTheme="minorEastAsia" w:hAnsiTheme="minorHAnsi"/>
                <w:sz w:val="22"/>
                <w:szCs w:val="22"/>
                <w:lang w:eastAsia="de-CH"/>
              </w:rPr>
              <w:tab/>
            </w:r>
            <w:r>
              <w:rPr>
                <w:rStyle w:val="IndexLink"/>
              </w:rPr>
              <w:t>Review Meetings and Sales Targets</w:t>
            </w:r>
            <w:r>
              <w:rPr>
                <w:webHidden/>
              </w:rPr>
              <w:fldChar w:fldCharType="begin"/>
            </w:r>
            <w:r>
              <w:rPr>
                <w:webHidden/>
              </w:rPr>
              <w:instrText xml:space="preserve">PAGEREF _Toc99036791 \h</w:instrText>
            </w:r>
            <w:r>
              <w:rPr>
                <w:webHidden/>
              </w:rPr>
              <w:fldChar w:fldCharType="separate"/>
            </w:r>
            <w:r>
              <w:rPr>
                <w:rStyle w:val="IndexLink"/>
                <w:vanish w:val="false"/>
              </w:rPr>
              <w:tab/>
              <w:t>8</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2">
            <w:r>
              <w:rPr>
                <w:webHidden/>
                <w:rStyle w:val="IndexLink"/>
                <w:vanish w:val="false"/>
              </w:rPr>
              <w:t>5.</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Regulatory</w:t>
            </w:r>
            <w:r>
              <w:rPr>
                <w:webHidden/>
              </w:rPr>
              <w:fldChar w:fldCharType="begin"/>
            </w:r>
            <w:r>
              <w:rPr>
                <w:webHidden/>
              </w:rPr>
              <w:instrText xml:space="preserve">PAGEREF _Toc99036792 \h</w:instrText>
            </w:r>
            <w:r>
              <w:rPr>
                <w:webHidden/>
              </w:rPr>
              <w:fldChar w:fldCharType="separate"/>
            </w:r>
            <w:r>
              <w:rPr>
                <w:rStyle w:val="IndexLink"/>
                <w:vanish w:val="false"/>
              </w:rPr>
              <w:tab/>
              <w:t>8</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3">
            <w:r>
              <w:rPr>
                <w:webHidden/>
                <w:rStyle w:val="IndexLink"/>
                <w:vanish w:val="false"/>
              </w:rPr>
              <w:t>6.</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Intellectual Property</w:t>
            </w:r>
            <w:r>
              <w:rPr>
                <w:webHidden/>
              </w:rPr>
              <w:fldChar w:fldCharType="begin"/>
            </w:r>
            <w:r>
              <w:rPr>
                <w:webHidden/>
              </w:rPr>
              <w:instrText xml:space="preserve">PAGEREF _Toc99036793 \h</w:instrText>
            </w:r>
            <w:r>
              <w:rPr>
                <w:webHidden/>
              </w:rPr>
              <w:fldChar w:fldCharType="separate"/>
            </w:r>
            <w:r>
              <w:rPr>
                <w:rStyle w:val="IndexLink"/>
                <w:vanish w:val="false"/>
              </w:rPr>
              <w:tab/>
              <w:t>8</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4">
            <w:r>
              <w:rPr>
                <w:webHidden/>
                <w:rStyle w:val="IndexLink"/>
                <w:vanish w:val="false"/>
              </w:rPr>
              <w:t>7.</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Confidentiality</w:t>
            </w:r>
            <w:r>
              <w:rPr>
                <w:webHidden/>
              </w:rPr>
              <w:fldChar w:fldCharType="begin"/>
            </w:r>
            <w:r>
              <w:rPr>
                <w:webHidden/>
              </w:rPr>
              <w:instrText xml:space="preserve">PAGEREF _Toc99036794 \h</w:instrText>
            </w:r>
            <w:r>
              <w:rPr>
                <w:webHidden/>
              </w:rPr>
              <w:fldChar w:fldCharType="separate"/>
            </w:r>
            <w:r>
              <w:rPr>
                <w:rStyle w:val="IndexLink"/>
                <w:vanish w:val="false"/>
              </w:rPr>
              <w:tab/>
              <w:t>8</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5">
            <w:r>
              <w:rPr>
                <w:webHidden/>
                <w:rStyle w:val="IndexLink"/>
                <w:vanish w:val="false"/>
              </w:rPr>
              <w:t>8.</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Force Majeure</w:t>
            </w:r>
            <w:r>
              <w:rPr>
                <w:webHidden/>
              </w:rPr>
              <w:fldChar w:fldCharType="begin"/>
            </w:r>
            <w:r>
              <w:rPr>
                <w:webHidden/>
              </w:rPr>
              <w:instrText xml:space="preserve">PAGEREF _Toc99036795 \h</w:instrText>
            </w:r>
            <w:r>
              <w:rPr>
                <w:webHidden/>
              </w:rPr>
              <w:fldChar w:fldCharType="separate"/>
            </w:r>
            <w:r>
              <w:rPr>
                <w:rStyle w:val="IndexLink"/>
                <w:vanish w:val="false"/>
              </w:rPr>
              <w:tab/>
              <w:t>9</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6">
            <w:r>
              <w:rPr>
                <w:webHidden/>
                <w:rStyle w:val="IndexLink"/>
                <w:vanish w:val="false"/>
              </w:rPr>
              <w:t>9.</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Term and Termination</w:t>
            </w:r>
            <w:r>
              <w:rPr>
                <w:webHidden/>
              </w:rPr>
              <w:fldChar w:fldCharType="begin"/>
            </w:r>
            <w:r>
              <w:rPr>
                <w:webHidden/>
              </w:rPr>
              <w:instrText xml:space="preserve">PAGEREF _Toc99036796 \h</w:instrText>
            </w:r>
            <w:r>
              <w:rPr>
                <w:webHidden/>
              </w:rPr>
              <w:fldChar w:fldCharType="separate"/>
            </w:r>
            <w:r>
              <w:rPr>
                <w:rStyle w:val="IndexLink"/>
                <w:vanish w:val="false"/>
              </w:rPr>
              <w:tab/>
              <w:t>9</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97">
            <w:r>
              <w:rPr>
                <w:webHidden/>
                <w:rStyle w:val="IndexLink"/>
                <w:vanish w:val="false"/>
              </w:rPr>
              <w:t>9.1</w:t>
            </w:r>
            <w:r>
              <w:rPr>
                <w:rStyle w:val="IndexLink"/>
                <w:rFonts w:eastAsia="" w:cs="" w:ascii="Calibri" w:hAnsi="Calibri" w:asciiTheme="minorHAnsi" w:cstheme="minorBidi" w:eastAsiaTheme="minorEastAsia" w:hAnsiTheme="minorHAnsi"/>
                <w:sz w:val="22"/>
                <w:szCs w:val="22"/>
                <w:lang w:eastAsia="de-CH"/>
              </w:rPr>
              <w:tab/>
            </w:r>
            <w:r>
              <w:rPr>
                <w:rStyle w:val="IndexLink"/>
              </w:rPr>
              <w:t>Term</w:t>
            </w:r>
            <w:r>
              <w:rPr>
                <w:webHidden/>
              </w:rPr>
              <w:fldChar w:fldCharType="begin"/>
            </w:r>
            <w:r>
              <w:rPr>
                <w:webHidden/>
              </w:rPr>
              <w:instrText xml:space="preserve">PAGEREF _Toc99036797 \h</w:instrText>
            </w:r>
            <w:r>
              <w:rPr>
                <w:webHidden/>
              </w:rPr>
              <w:fldChar w:fldCharType="separate"/>
            </w:r>
            <w:r>
              <w:rPr>
                <w:rStyle w:val="IndexLink"/>
                <w:vanish w:val="false"/>
              </w:rPr>
              <w:tab/>
              <w:t>9</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98">
            <w:r>
              <w:rPr>
                <w:webHidden/>
                <w:rStyle w:val="IndexLink"/>
                <w:vanish w:val="false"/>
              </w:rPr>
              <w:t>9.2</w:t>
            </w:r>
            <w:r>
              <w:rPr>
                <w:rStyle w:val="IndexLink"/>
                <w:rFonts w:eastAsia="" w:cs="" w:ascii="Calibri" w:hAnsi="Calibri" w:asciiTheme="minorHAnsi" w:cstheme="minorBidi" w:eastAsiaTheme="minorEastAsia" w:hAnsiTheme="minorHAnsi"/>
                <w:sz w:val="22"/>
                <w:szCs w:val="22"/>
                <w:lang w:eastAsia="de-CH"/>
              </w:rPr>
              <w:tab/>
            </w:r>
            <w:r>
              <w:rPr>
                <w:rStyle w:val="IndexLink"/>
              </w:rPr>
              <w:t>Termination for Cause</w:t>
            </w:r>
            <w:r>
              <w:rPr>
                <w:webHidden/>
              </w:rPr>
              <w:fldChar w:fldCharType="begin"/>
            </w:r>
            <w:r>
              <w:rPr>
                <w:webHidden/>
              </w:rPr>
              <w:instrText xml:space="preserve">PAGEREF _Toc99036798 \h</w:instrText>
            </w:r>
            <w:r>
              <w:rPr>
                <w:webHidden/>
              </w:rPr>
              <w:fldChar w:fldCharType="separate"/>
            </w:r>
            <w:r>
              <w:rPr>
                <w:rStyle w:val="IndexLink"/>
                <w:vanish w:val="false"/>
              </w:rPr>
              <w:tab/>
              <w:t>9</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9">
            <w:r>
              <w:rPr>
                <w:webHidden/>
                <w:rStyle w:val="IndexLink"/>
                <w:vanish w:val="false"/>
              </w:rPr>
              <w:t>10.</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Effects of Termination or Expiration</w:t>
            </w:r>
            <w:r>
              <w:rPr>
                <w:webHidden/>
              </w:rPr>
              <w:fldChar w:fldCharType="begin"/>
            </w:r>
            <w:r>
              <w:rPr>
                <w:webHidden/>
              </w:rPr>
              <w:instrText xml:space="preserve">PAGEREF _Toc99036799 \h</w:instrText>
            </w:r>
            <w:r>
              <w:rPr>
                <w:webHidden/>
              </w:rPr>
              <w:fldChar w:fldCharType="separate"/>
            </w:r>
            <w:r>
              <w:rPr>
                <w:rStyle w:val="IndexLink"/>
                <w:vanish w:val="false"/>
              </w:rPr>
              <w:tab/>
              <w:t>10</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0">
            <w:r>
              <w:rPr>
                <w:webHidden/>
                <w:rStyle w:val="IndexLink"/>
                <w:vanish w:val="false"/>
              </w:rPr>
              <w:t>10.1</w:t>
            </w:r>
            <w:r>
              <w:rPr>
                <w:rStyle w:val="IndexLink"/>
                <w:rFonts w:eastAsia="" w:cs="" w:ascii="Calibri" w:hAnsi="Calibri" w:asciiTheme="minorHAnsi" w:cstheme="minorBidi" w:eastAsiaTheme="minorEastAsia" w:hAnsiTheme="minorHAnsi"/>
                <w:sz w:val="22"/>
                <w:szCs w:val="22"/>
                <w:lang w:eastAsia="de-CH"/>
              </w:rPr>
              <w:tab/>
            </w:r>
            <w:r>
              <w:rPr>
                <w:rStyle w:val="IndexLink"/>
              </w:rPr>
              <w:t>Surviving Terms</w:t>
            </w:r>
            <w:r>
              <w:rPr>
                <w:webHidden/>
              </w:rPr>
              <w:fldChar w:fldCharType="begin"/>
            </w:r>
            <w:r>
              <w:rPr>
                <w:webHidden/>
              </w:rPr>
              <w:instrText xml:space="preserve">PAGEREF _Toc99036800 \h</w:instrText>
            </w:r>
            <w:r>
              <w:rPr>
                <w:webHidden/>
              </w:rPr>
              <w:fldChar w:fldCharType="separate"/>
            </w:r>
            <w:r>
              <w:rPr>
                <w:rStyle w:val="IndexLink"/>
                <w:vanish w:val="false"/>
              </w:rPr>
              <w:tab/>
              <w:t>10</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1">
            <w:r>
              <w:rPr>
                <w:webHidden/>
                <w:rStyle w:val="IndexLink"/>
                <w:vanish w:val="false"/>
              </w:rPr>
              <w:t>10.2</w:t>
            </w:r>
            <w:r>
              <w:rPr>
                <w:rStyle w:val="IndexLink"/>
                <w:rFonts w:eastAsia="" w:cs="" w:ascii="Calibri" w:hAnsi="Calibri" w:asciiTheme="minorHAnsi" w:cstheme="minorBidi" w:eastAsiaTheme="minorEastAsia" w:hAnsiTheme="minorHAnsi"/>
                <w:sz w:val="22"/>
                <w:szCs w:val="22"/>
                <w:lang w:eastAsia="de-CH"/>
              </w:rPr>
              <w:tab/>
            </w:r>
            <w:r>
              <w:rPr>
                <w:rStyle w:val="IndexLink"/>
              </w:rPr>
              <w:t>Inventory</w:t>
            </w:r>
            <w:r>
              <w:rPr>
                <w:webHidden/>
              </w:rPr>
              <w:fldChar w:fldCharType="begin"/>
            </w:r>
            <w:r>
              <w:rPr>
                <w:webHidden/>
              </w:rPr>
              <w:instrText xml:space="preserve">PAGEREF _Toc99036801 \h</w:instrText>
            </w:r>
            <w:r>
              <w:rPr>
                <w:webHidden/>
              </w:rPr>
              <w:fldChar w:fldCharType="separate"/>
            </w:r>
            <w:r>
              <w:rPr>
                <w:rStyle w:val="IndexLink"/>
                <w:vanish w:val="false"/>
              </w:rPr>
              <w:tab/>
              <w:t>10</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2">
            <w:r>
              <w:rPr>
                <w:webHidden/>
                <w:rStyle w:val="IndexLink"/>
                <w:vanish w:val="false"/>
              </w:rPr>
              <w:t>10.3</w:t>
            </w:r>
            <w:r>
              <w:rPr>
                <w:rStyle w:val="IndexLink"/>
                <w:rFonts w:eastAsia="" w:cs="" w:ascii="Calibri" w:hAnsi="Calibri" w:asciiTheme="minorHAnsi" w:cstheme="minorBidi" w:eastAsiaTheme="minorEastAsia" w:hAnsiTheme="minorHAnsi"/>
                <w:sz w:val="22"/>
                <w:szCs w:val="22"/>
                <w:lang w:eastAsia="de-CH"/>
              </w:rPr>
              <w:tab/>
            </w:r>
            <w:r>
              <w:rPr>
                <w:rStyle w:val="IndexLink"/>
              </w:rPr>
              <w:t>Customer Information</w:t>
            </w:r>
            <w:r>
              <w:rPr>
                <w:webHidden/>
              </w:rPr>
              <w:fldChar w:fldCharType="begin"/>
            </w:r>
            <w:r>
              <w:rPr>
                <w:webHidden/>
              </w:rPr>
              <w:instrText xml:space="preserve">PAGEREF _Toc99036802 \h</w:instrText>
            </w:r>
            <w:r>
              <w:rPr>
                <w:webHidden/>
              </w:rPr>
              <w:fldChar w:fldCharType="separate"/>
            </w:r>
            <w:r>
              <w:rPr>
                <w:rStyle w:val="IndexLink"/>
                <w:vanish w:val="false"/>
              </w:rPr>
              <w:tab/>
              <w:t>10</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3">
            <w:r>
              <w:rPr>
                <w:webHidden/>
                <w:rStyle w:val="IndexLink"/>
                <w:vanish w:val="false"/>
              </w:rPr>
              <w:t>10.4</w:t>
            </w:r>
            <w:r>
              <w:rPr>
                <w:rStyle w:val="IndexLink"/>
                <w:rFonts w:eastAsia="" w:cs="" w:ascii="Calibri" w:hAnsi="Calibri" w:asciiTheme="minorHAnsi" w:cstheme="minorBidi" w:eastAsiaTheme="minorEastAsia" w:hAnsiTheme="minorHAnsi"/>
                <w:sz w:val="22"/>
                <w:szCs w:val="22"/>
                <w:lang w:eastAsia="de-CH"/>
              </w:rPr>
              <w:tab/>
            </w:r>
            <w:r>
              <w:rPr>
                <w:rStyle w:val="IndexLink"/>
              </w:rPr>
              <w:t>No Compensation upon Termination or Expiration</w:t>
            </w:r>
            <w:r>
              <w:rPr>
                <w:webHidden/>
              </w:rPr>
              <w:fldChar w:fldCharType="begin"/>
            </w:r>
            <w:r>
              <w:rPr>
                <w:webHidden/>
              </w:rPr>
              <w:instrText xml:space="preserve">PAGEREF _Toc99036803 \h</w:instrText>
            </w:r>
            <w:r>
              <w:rPr>
                <w:webHidden/>
              </w:rPr>
              <w:fldChar w:fldCharType="separate"/>
            </w:r>
            <w:r>
              <w:rPr>
                <w:rStyle w:val="IndexLink"/>
                <w:vanish w:val="false"/>
              </w:rPr>
              <w:tab/>
              <w:t>10</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804">
            <w:r>
              <w:rPr>
                <w:webHidden/>
                <w:rStyle w:val="IndexLink"/>
                <w:vanish w:val="false"/>
              </w:rPr>
              <w:t>11.</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Relationship of the Parties</w:t>
            </w:r>
            <w:r>
              <w:rPr>
                <w:webHidden/>
              </w:rPr>
              <w:fldChar w:fldCharType="begin"/>
            </w:r>
            <w:r>
              <w:rPr>
                <w:webHidden/>
              </w:rPr>
              <w:instrText xml:space="preserve">PAGEREF _Toc99036804 \h</w:instrText>
            </w:r>
            <w:r>
              <w:rPr>
                <w:webHidden/>
              </w:rPr>
              <w:fldChar w:fldCharType="separate"/>
            </w:r>
            <w:r>
              <w:rPr>
                <w:rStyle w:val="IndexLink"/>
                <w:vanish w:val="false"/>
              </w:rPr>
              <w:tab/>
              <w:t>11</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805">
            <w:r>
              <w:rPr>
                <w:webHidden/>
                <w:rStyle w:val="IndexLink"/>
                <w:vanish w:val="false"/>
              </w:rPr>
              <w:t>12.</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Miscellaneous</w:t>
            </w:r>
            <w:r>
              <w:rPr>
                <w:webHidden/>
              </w:rPr>
              <w:fldChar w:fldCharType="begin"/>
            </w:r>
            <w:r>
              <w:rPr>
                <w:webHidden/>
              </w:rPr>
              <w:instrText xml:space="preserve">PAGEREF _Toc99036805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6">
            <w:r>
              <w:rPr>
                <w:webHidden/>
                <w:rStyle w:val="IndexLink"/>
                <w:vanish w:val="false"/>
              </w:rPr>
              <w:t>12.1</w:t>
            </w:r>
            <w:r>
              <w:rPr>
                <w:rStyle w:val="IndexLink"/>
                <w:rFonts w:eastAsia="" w:cs="" w:ascii="Calibri" w:hAnsi="Calibri" w:asciiTheme="minorHAnsi" w:cstheme="minorBidi" w:eastAsiaTheme="minorEastAsia" w:hAnsiTheme="minorHAnsi"/>
                <w:sz w:val="22"/>
                <w:szCs w:val="22"/>
                <w:lang w:eastAsia="de-CH"/>
              </w:rPr>
              <w:tab/>
            </w:r>
            <w:r>
              <w:rPr>
                <w:rStyle w:val="IndexLink"/>
              </w:rPr>
              <w:t>Entire Agreement</w:t>
            </w:r>
            <w:r>
              <w:rPr>
                <w:webHidden/>
              </w:rPr>
              <w:fldChar w:fldCharType="begin"/>
            </w:r>
            <w:r>
              <w:rPr>
                <w:webHidden/>
              </w:rPr>
              <w:instrText xml:space="preserve">PAGEREF _Toc99036806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7">
            <w:r>
              <w:rPr>
                <w:webHidden/>
                <w:rStyle w:val="IndexLink"/>
                <w:vanish w:val="false"/>
              </w:rPr>
              <w:t>12.2</w:t>
            </w:r>
            <w:r>
              <w:rPr>
                <w:rStyle w:val="IndexLink"/>
                <w:rFonts w:eastAsia="" w:cs="" w:ascii="Calibri" w:hAnsi="Calibri" w:asciiTheme="minorHAnsi" w:cstheme="minorBidi" w:eastAsiaTheme="minorEastAsia" w:hAnsiTheme="minorHAnsi"/>
                <w:sz w:val="22"/>
                <w:szCs w:val="22"/>
                <w:lang w:eastAsia="de-CH"/>
              </w:rPr>
              <w:tab/>
            </w:r>
            <w:r>
              <w:rPr>
                <w:rStyle w:val="IndexLink"/>
              </w:rPr>
              <w:t>Amendments and Modifications</w:t>
            </w:r>
            <w:r>
              <w:rPr>
                <w:webHidden/>
              </w:rPr>
              <w:fldChar w:fldCharType="begin"/>
            </w:r>
            <w:r>
              <w:rPr>
                <w:webHidden/>
              </w:rPr>
              <w:instrText xml:space="preserve">PAGEREF _Toc99036807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8">
            <w:r>
              <w:rPr>
                <w:webHidden/>
                <w:rStyle w:val="IndexLink"/>
                <w:vanish w:val="false"/>
              </w:rPr>
              <w:t>12.3</w:t>
            </w:r>
            <w:r>
              <w:rPr>
                <w:rStyle w:val="IndexLink"/>
                <w:rFonts w:eastAsia="" w:cs="" w:ascii="Calibri" w:hAnsi="Calibri" w:asciiTheme="minorHAnsi" w:cstheme="minorBidi" w:eastAsiaTheme="minorEastAsia" w:hAnsiTheme="minorHAnsi"/>
                <w:sz w:val="22"/>
                <w:szCs w:val="22"/>
                <w:lang w:eastAsia="de-CH"/>
              </w:rPr>
              <w:tab/>
            </w:r>
            <w:r>
              <w:rPr>
                <w:rStyle w:val="IndexLink"/>
              </w:rPr>
              <w:t>Severability</w:t>
            </w:r>
            <w:r>
              <w:rPr>
                <w:webHidden/>
              </w:rPr>
              <w:fldChar w:fldCharType="begin"/>
            </w:r>
            <w:r>
              <w:rPr>
                <w:webHidden/>
              </w:rPr>
              <w:instrText xml:space="preserve">PAGEREF _Toc99036808 \h</w:instrText>
            </w:r>
            <w:r>
              <w:rPr>
                <w:webHidden/>
              </w:rPr>
              <w:fldChar w:fldCharType="separate"/>
            </w:r>
            <w:r>
              <w:rPr>
                <w:rStyle w:val="IndexLink"/>
                <w:vanish w:val="false"/>
              </w:rPr>
              <w:tab/>
              <w:t>11</w:t>
            </w:r>
            <w:r>
              <w:rPr>
                <w:webHidden/>
              </w:rPr>
              <w:fldChar w:fldCharType="end"/>
            </w:r>
          </w:hyperlink>
        </w:p>
        <w:p>
          <w:pPr>
            <w:pStyle w:val="Contents2"/>
            <w:rPr/>
          </w:pPr>
          <w:hyperlink w:anchor="_Toc99036809">
            <w:r>
              <w:rPr>
                <w:webHidden/>
                <w:rStyle w:val="IndexLink"/>
                <w:vanish w:val="false"/>
              </w:rPr>
              <w:t>12.4</w:t>
            </w:r>
            <w:r>
              <w:rPr>
                <w:rStyle w:val="IndexLink"/>
                <w:rFonts w:eastAsia="" w:cs="" w:ascii="Calibri" w:hAnsi="Calibri" w:asciiTheme="minorHAnsi" w:cstheme="minorBidi" w:eastAsiaTheme="minorEastAsia" w:hAnsiTheme="minorHAnsi"/>
                <w:sz w:val="22"/>
                <w:szCs w:val="22"/>
                <w:lang w:eastAsia="de-CH"/>
              </w:rPr>
              <w:tab/>
            </w:r>
            <w:r>
              <w:rPr>
                <w:rStyle w:val="IndexLink"/>
              </w:rPr>
              <w:t>Assignment</w:t>
            </w:r>
            <w:r>
              <w:rPr>
                <w:webHidden/>
              </w:rPr>
              <w:fldChar w:fldCharType="begin"/>
            </w:r>
            <w:r>
              <w:rPr>
                <w:webHidden/>
              </w:rPr>
              <w:instrText xml:space="preserve">PAGEREF _Toc99036809 \h</w:instrText>
            </w:r>
            <w:r>
              <w:rPr>
                <w:webHidden/>
              </w:rPr>
              <w:fldChar w:fldCharType="separate"/>
            </w:r>
            <w:r>
              <w:rPr>
                <w:rStyle w:val="IndexLink"/>
                <w:vanish w:val="false"/>
              </w:rPr>
              <w:tab/>
              <w:t>11</w:t>
            </w:r>
            <w:r>
              <w:rPr>
                <w:webHidden/>
              </w:rPr>
              <w:fldChar w:fldCharType="end"/>
            </w:r>
          </w:hyperlink>
        </w:p>
        <w:p>
          <w:pPr>
            <w:pStyle w:val="Normal"/>
            <w:rPr/>
          </w:pPr>
          <w:r>
            <w:rPr/>
          </w:r>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810">
            <w:r>
              <w:rPr>
                <w:webHidden/>
                <w:rStyle w:val="IndexLink"/>
                <w:vanish w:val="false"/>
              </w:rPr>
              <w:t>13.</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Governing Law and Jurisdiction</w:t>
            </w:r>
            <w:r>
              <w:rPr>
                <w:webHidden/>
              </w:rPr>
              <w:fldChar w:fldCharType="begin"/>
            </w:r>
            <w:r>
              <w:rPr>
                <w:webHidden/>
              </w:rPr>
              <w:instrText xml:space="preserve">PAGEREF _Toc99036810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11">
            <w:r>
              <w:rPr>
                <w:webHidden/>
                <w:rStyle w:val="IndexLink"/>
                <w:vanish w:val="false"/>
              </w:rPr>
              <w:t>13.1</w:t>
            </w:r>
            <w:r>
              <w:rPr>
                <w:rStyle w:val="IndexLink"/>
                <w:rFonts w:eastAsia="" w:cs="" w:ascii="Calibri" w:hAnsi="Calibri" w:asciiTheme="minorHAnsi" w:cstheme="minorBidi" w:eastAsiaTheme="minorEastAsia" w:hAnsiTheme="minorHAnsi"/>
                <w:sz w:val="22"/>
                <w:szCs w:val="22"/>
                <w:lang w:eastAsia="de-CH"/>
              </w:rPr>
              <w:tab/>
            </w:r>
            <w:r>
              <w:rPr>
                <w:rStyle w:val="IndexLink"/>
              </w:rPr>
              <w:t>Choice of Law</w:t>
            </w:r>
            <w:r>
              <w:rPr>
                <w:webHidden/>
              </w:rPr>
              <w:fldChar w:fldCharType="begin"/>
            </w:r>
            <w:r>
              <w:rPr>
                <w:webHidden/>
              </w:rPr>
              <w:instrText xml:space="preserve">PAGEREF _Toc99036811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12">
            <w:r>
              <w:rPr>
                <w:webHidden/>
                <w:rStyle w:val="IndexLink"/>
                <w:vanish w:val="false"/>
              </w:rPr>
              <w:t>13.2</w:t>
            </w:r>
            <w:r>
              <w:rPr>
                <w:rStyle w:val="IndexLink"/>
                <w:rFonts w:eastAsia="" w:cs="" w:ascii="Calibri" w:hAnsi="Calibri" w:asciiTheme="minorHAnsi" w:cstheme="minorBidi" w:eastAsiaTheme="minorEastAsia" w:hAnsiTheme="minorHAnsi"/>
                <w:sz w:val="22"/>
                <w:szCs w:val="22"/>
                <w:lang w:eastAsia="de-CH"/>
              </w:rPr>
              <w:tab/>
            </w:r>
            <w:r>
              <w:rPr>
                <w:rStyle w:val="IndexLink"/>
              </w:rPr>
              <w:t>Arbitration</w:t>
            </w:r>
            <w:r>
              <w:rPr>
                <w:webHidden/>
              </w:rPr>
              <w:fldChar w:fldCharType="begin"/>
            </w:r>
            <w:r>
              <w:rPr>
                <w:webHidden/>
              </w:rPr>
              <w:instrText xml:space="preserve">PAGEREF _Toc99036812 \h</w:instrText>
            </w:r>
            <w:r>
              <w:rPr>
                <w:webHidden/>
              </w:rPr>
              <w:fldChar w:fldCharType="separate"/>
            </w:r>
            <w:r>
              <w:rPr>
                <w:rStyle w:val="IndexLink"/>
                <w:vanish w:val="false"/>
              </w:rPr>
              <w:tab/>
              <w:t>12</w:t>
            </w:r>
            <w:r>
              <w:rPr>
                <w:webHidden/>
              </w:rPr>
              <w:fldChar w:fldCharType="end"/>
            </w:r>
          </w:hyperlink>
          <w:r>
            <w:rPr>
              <w:rStyle w:val="IndexLink"/>
              <w:vanish w:val="false"/>
            </w:rPr>
            <w:fldChar w:fldCharType="end"/>
          </w:r>
        </w:p>
      </w:sdtContent>
    </w:sdt>
    <w:p>
      <w:pPr>
        <w:pStyle w:val="Text"/>
        <w:spacing w:before="120" w:after="0"/>
        <w:rPr/>
      </w:pPr>
      <w:r>
        <w:rPr/>
      </w:r>
      <w:bookmarkStart w:id="0" w:name="_Toc336609972"/>
      <w:bookmarkStart w:id="1" w:name="_Toc336609972"/>
      <w:bookmarkEnd w:id="1"/>
    </w:p>
    <w:p>
      <w:pPr>
        <w:pStyle w:val="Titlesmallwithoutnum"/>
        <w:rPr/>
      </w:pPr>
      <w:bookmarkStart w:id="2" w:name="_Toc410052549"/>
      <w:bookmarkStart w:id="3" w:name="_Toc410378781"/>
      <w:bookmarkStart w:id="4" w:name="_Toc99036774"/>
      <w:r>
        <w:rPr/>
        <w:t>Table of Schedules</w:t>
      </w:r>
      <w:bookmarkEnd w:id="2"/>
      <w:bookmarkEnd w:id="3"/>
      <w:bookmarkEnd w:id="4"/>
    </w:p>
    <w:p>
      <w:pPr>
        <w:pStyle w:val="Text"/>
        <w:rPr/>
      </w:pPr>
      <w:r>
        <w:rPr/>
      </w:r>
    </w:p>
    <w:sdt>
      <w:sdtPr>
        <w:docPartObj>
          <w:docPartGallery w:val="Table of Contents"/>
          <w:docPartUnique w:val="true"/>
        </w:docPartObj>
      </w:sdtPr>
      <w:sdtContent>
        <w:p>
          <w:pPr>
            <w:pStyle w:val="Contents9"/>
            <w:rPr>
              <w:lang w:val="en-GB"/>
            </w:rPr>
          </w:pPr>
          <w:r>
            <w:fldChar w:fldCharType="begin"/>
          </w:r>
          <w:r>
            <w:rPr>
              <w:lang w:val="en-GB"/>
            </w:rPr>
            <w:instrText xml:space="preserve"> TOC \o "1-9" \h</w:instrText>
          </w:r>
          <w:r>
            <w:rPr>
              <w:lang w:val="en-GB"/>
            </w:rPr>
            <w:fldChar w:fldCharType="separate"/>
          </w:r>
          <w:r>
            <w:rPr>
              <w:lang w:val="en-GB"/>
            </w:rPr>
            <w:t>Schedule A: Products and Prices</w:t>
          </w:r>
        </w:p>
        <w:p>
          <w:pPr>
            <w:pStyle w:val="Contents9"/>
            <w:rPr>
              <w:lang w:val="en-GB"/>
            </w:rPr>
          </w:pPr>
          <w:r>
            <w:rPr>
              <w:lang w:val="en-GB"/>
            </w:rPr>
            <w:t>Schedule B: Territory</w:t>
          </w:r>
        </w:p>
        <w:p>
          <w:pPr>
            <w:pStyle w:val="Contents9"/>
            <w:rPr>
              <w:lang w:val="en-GB"/>
            </w:rPr>
          </w:pPr>
          <w:r>
            <w:rPr>
              <w:lang w:val="en-GB"/>
            </w:rPr>
            <w:t>Schedule C: Payment Terms</w:t>
          </w:r>
        </w:p>
        <w:p>
          <w:pPr>
            <w:pStyle w:val="Contents9"/>
            <w:rPr>
              <w:lang w:val="en-GB"/>
            </w:rPr>
          </w:pPr>
          <w:r>
            <w:rPr>
              <w:lang w:val="en-GB"/>
            </w:rPr>
            <w:t>Schedule D: Sales Targets / Forecasts</w:t>
          </w:r>
        </w:p>
        <w:p>
          <w:pPr>
            <w:pStyle w:val="Contents9"/>
            <w:rPr>
              <w:lang w:val="en-GB"/>
            </w:rPr>
          </w:pPr>
          <w:r>
            <w:rPr>
              <w:lang w:val="en-GB"/>
            </w:rPr>
            <w:t>Schedule E: Regulatory</w:t>
          </w:r>
          <w:r>
            <w:rPr>
              <w:lang w:val="en-GB"/>
            </w:rPr>
            <w:fldChar w:fldCharType="end"/>
          </w:r>
        </w:p>
      </w:sdtContent>
    </w:sdt>
    <w:p>
      <w:pPr>
        <w:pStyle w:val="Contents9"/>
        <w:rPr>
          <w:lang w:val="en-US"/>
        </w:rPr>
      </w:pPr>
      <w:r>
        <w:rPr>
          <w:lang w:val="en-US"/>
        </w:rPr>
      </w:r>
    </w:p>
    <w:p>
      <w:pPr>
        <w:pStyle w:val="Normal"/>
        <w:rPr>
          <w:rFonts w:eastAsia="Times New Roman"/>
          <w:b/>
          <w:b/>
          <w:lang w:val="en-US"/>
        </w:rPr>
      </w:pPr>
      <w:r>
        <w:rPr>
          <w:rFonts w:eastAsia="Times New Roman"/>
          <w:b/>
          <w:lang w:val="en-US"/>
        </w:rPr>
      </w:r>
      <w:r>
        <w:br w:type="page"/>
      </w:r>
    </w:p>
    <w:p>
      <w:pPr>
        <w:pStyle w:val="Normalwithoutspacing"/>
        <w:keepNext w:val="true"/>
        <w:rPr>
          <w:b/>
          <w:b/>
          <w:sz w:val="26"/>
          <w:szCs w:val="26"/>
        </w:rPr>
      </w:pPr>
      <w:r>
        <w:rPr>
          <w:b/>
          <w:sz w:val="26"/>
          <w:szCs w:val="26"/>
        </w:rPr>
        <w:t>Recitals</w:t>
      </w:r>
    </w:p>
    <w:p>
      <w:pPr>
        <w:pStyle w:val="ARecital"/>
        <w:numPr>
          <w:ilvl w:val="0"/>
          <w:numId w:val="13"/>
        </w:numPr>
        <w:rPr/>
      </w:pPr>
      <w:r>
        <w:rPr/>
        <w:t>Anandic is engaged in the sales and marketing of medical devices and has the exclusive distribution rights (with the right to appoint sub-distributors) in Switzerland, all countries of the European Economic Area , the Eastern European Countries and Australia and New Zeeland for certain products manufactured by Medker Medical Electronic Tech (Shenzen) Co Ltd ("</w:t>
      </w:r>
      <w:r>
        <w:rPr>
          <w:b/>
        </w:rPr>
        <w:t>Medker</w:t>
      </w:r>
      <w:r>
        <w:rPr/>
        <w:t>").</w:t>
      </w:r>
      <w:r>
        <w:rPr>
          <w:color w:val="0070C0"/>
        </w:rPr>
        <w:t xml:space="preserve"> </w:t>
      </w:r>
      <w:r>
        <w:rPr/>
        <w:t>Medker is the legal manufacturer of the respective products in accordance with the relevant Swiss and European medical device regulations and has nominated an EU authorized representative.</w:t>
      </w:r>
    </w:p>
    <w:p>
      <w:pPr>
        <w:pStyle w:val="ARecital"/>
        <w:numPr>
          <w:ilvl w:val="0"/>
          <w:numId w:val="13"/>
        </w:numPr>
        <w:rPr/>
      </w:pPr>
      <w:r>
        <w:rPr/>
        <w:t>Anandic wishes to sub-licence its exclusive distribution rights in certain country/ies (i.e. the Territory, as hereafter defined) to Distributor and to appoint Distributor as its exclusive distributor for the respective Territory.</w:t>
      </w:r>
    </w:p>
    <w:p>
      <w:pPr>
        <w:pStyle w:val="ARecital"/>
        <w:numPr>
          <w:ilvl w:val="0"/>
          <w:numId w:val="13"/>
        </w:numPr>
        <w:rPr/>
      </w:pPr>
      <w:r>
        <w:rPr/>
        <w:t>Distributor is engaged in the sales and marketing of medical devices in the Territory and is willing to act as importer and exclusive distributor of Anandic for the respective products in such Territory.</w:t>
      </w:r>
    </w:p>
    <w:p>
      <w:pPr>
        <w:pStyle w:val="Text"/>
        <w:rPr/>
      </w:pPr>
      <w:r>
        <w:rPr/>
      </w:r>
    </w:p>
    <w:p>
      <w:pPr>
        <w:pStyle w:val="Text"/>
        <w:rPr/>
      </w:pPr>
      <w:r>
        <w:rPr/>
        <w:t>Now, therefore, the Parties have concluded the following agreement (the "</w:t>
      </w:r>
      <w:r>
        <w:rPr>
          <w:b/>
        </w:rPr>
        <w:t>Agreement</w:t>
      </w:r>
      <w:r>
        <w:rPr/>
        <w:t>"):</w:t>
      </w:r>
    </w:p>
    <w:p>
      <w:pPr>
        <w:pStyle w:val="1Title"/>
        <w:numPr>
          <w:ilvl w:val="0"/>
          <w:numId w:val="12"/>
        </w:numPr>
        <w:rPr/>
      </w:pPr>
      <w:bookmarkStart w:id="5" w:name="_Toc99036775"/>
      <w:bookmarkStart w:id="6" w:name="_Toc410052550"/>
      <w:bookmarkStart w:id="7" w:name="_Toc410378782"/>
      <w:bookmarkEnd w:id="6"/>
      <w:bookmarkEnd w:id="7"/>
      <w:r>
        <w:rPr/>
        <w:t>Distribution</w:t>
      </w:r>
      <w:bookmarkEnd w:id="5"/>
    </w:p>
    <w:p>
      <w:pPr>
        <w:pStyle w:val="11Title"/>
        <w:numPr>
          <w:ilvl w:val="1"/>
          <w:numId w:val="12"/>
        </w:numPr>
        <w:rPr/>
      </w:pPr>
      <w:bookmarkStart w:id="8" w:name="_Toc99036776"/>
      <w:bookmarkStart w:id="9" w:name="_Toc410378784"/>
      <w:bookmarkStart w:id="10" w:name="_Toc4100525501"/>
      <w:bookmarkStart w:id="11" w:name="_Toc4103787821"/>
      <w:bookmarkEnd w:id="9"/>
      <w:bookmarkEnd w:id="10"/>
      <w:bookmarkEnd w:id="11"/>
      <w:r>
        <w:rPr/>
        <w:t>Appointment</w:t>
      </w:r>
      <w:bookmarkEnd w:id="8"/>
    </w:p>
    <w:p>
      <w:pPr>
        <w:pStyle w:val="AText"/>
        <w:numPr>
          <w:ilvl w:val="4"/>
          <w:numId w:val="12"/>
        </w:numPr>
        <w:rPr/>
      </w:pPr>
      <w:r>
        <w:rPr/>
        <w:t>As of the Effective Date (as defined below) and for the duration of this Agreement, Anandic hereby appoints Distributor and Distributor accepts such appointment, as exclusive distributor for the sale and distribution of the Products (as defined below) in the Territory (as defined below). Distributor will purchase the Products from Anandic in its own name and for its own account and resell them to customers in its own name and for its own account in the Territory.</w:t>
      </w:r>
    </w:p>
    <w:p>
      <w:pPr>
        <w:pStyle w:val="AText"/>
        <w:numPr>
          <w:ilvl w:val="4"/>
          <w:numId w:val="12"/>
        </w:numPr>
        <w:rPr/>
      </w:pPr>
      <w:r>
        <w:rPr/>
        <w:t>Distributor is allowed to use or appoint agents or sub-distributors for the distribution of the Products in the Territory upon its own discretion and without Anandic's explicit consent. Distributor must, however, impose upon such agents and sub-distributors substantially the same obligations it has under this Agreement. Distributor shall bear all costs of and will be held responsible towards Anandic for any act or omission performed by its agents and sub-distributors as if it had performed them itself.</w:t>
      </w:r>
    </w:p>
    <w:p>
      <w:pPr>
        <w:pStyle w:val="11Title"/>
        <w:numPr>
          <w:ilvl w:val="1"/>
          <w:numId w:val="12"/>
        </w:numPr>
        <w:rPr/>
      </w:pPr>
      <w:bookmarkStart w:id="12" w:name="_Toc99036777"/>
      <w:r>
        <w:rPr/>
        <w:t>Products and Territory</w:t>
      </w:r>
      <w:bookmarkEnd w:id="12"/>
    </w:p>
    <w:p>
      <w:pPr>
        <w:pStyle w:val="AText"/>
        <w:numPr>
          <w:ilvl w:val="4"/>
          <w:numId w:val="12"/>
        </w:numPr>
        <w:rPr/>
      </w:pPr>
      <w:r>
        <w:rPr/>
        <w:t xml:space="preserve">The products that are subject to this Agreement shall be the products set forth in </w:t>
      </w:r>
      <w:r>
        <w:rPr>
          <w:u w:val="single"/>
        </w:rPr>
        <w:t>Schedule A</w:t>
      </w:r>
      <w:r>
        <w:rPr/>
        <w:t xml:space="preserve"> hereto (the "</w:t>
      </w:r>
      <w:r>
        <w:rPr>
          <w:b/>
        </w:rPr>
        <w:t>Products</w:t>
      </w:r>
      <w:r>
        <w:rPr/>
        <w:t xml:space="preserve">"). </w:t>
      </w:r>
    </w:p>
    <w:p>
      <w:pPr>
        <w:pStyle w:val="AText"/>
        <w:numPr>
          <w:ilvl w:val="4"/>
          <w:numId w:val="12"/>
        </w:numPr>
        <w:rPr/>
      </w:pPr>
      <w:r>
        <w:rPr/>
        <w:t xml:space="preserve">The geographical area covered by this Agreement is set forth in </w:t>
      </w:r>
      <w:r>
        <w:rPr>
          <w:u w:val="single"/>
        </w:rPr>
        <w:t>Schedule B</w:t>
      </w:r>
      <w:r>
        <w:rPr/>
        <w:t xml:space="preserve"> (the "</w:t>
      </w:r>
      <w:r>
        <w:rPr>
          <w:b/>
        </w:rPr>
        <w:t>Territory</w:t>
      </w:r>
      <w:r>
        <w:rPr/>
        <w:t xml:space="preserve">"). </w:t>
      </w:r>
    </w:p>
    <w:p>
      <w:pPr>
        <w:pStyle w:val="AText"/>
        <w:numPr>
          <w:ilvl w:val="4"/>
          <w:numId w:val="12"/>
        </w:numPr>
        <w:rPr/>
      </w:pPr>
      <w:r>
        <w:rPr/>
        <w:t>The Parties may agree from time to time to include further products and/or countries by amending the respective Schedules in writing.</w:t>
      </w:r>
    </w:p>
    <w:p>
      <w:pPr>
        <w:pStyle w:val="11Title"/>
        <w:numPr>
          <w:ilvl w:val="1"/>
          <w:numId w:val="12"/>
        </w:numPr>
        <w:rPr/>
      </w:pPr>
      <w:bookmarkStart w:id="13" w:name="_Toc99036778"/>
      <w:bookmarkStart w:id="14" w:name="_Ref71551074"/>
      <w:r>
        <w:rPr/>
        <w:t>Exclusivity</w:t>
      </w:r>
      <w:bookmarkEnd w:id="14"/>
      <w:r>
        <w:rPr/>
        <w:t xml:space="preserve"> and Non-Compete</w:t>
      </w:r>
      <w:bookmarkEnd w:id="13"/>
    </w:p>
    <w:p>
      <w:pPr>
        <w:pStyle w:val="AText"/>
        <w:numPr>
          <w:ilvl w:val="4"/>
          <w:numId w:val="12"/>
        </w:numPr>
        <w:rPr/>
      </w:pPr>
      <w:r>
        <w:rPr/>
        <w:t>Distributor shall act as exclusive distributor in the Territory. Anandic shall not actively supply other distributors, intermediaries or end customers in the Territory with the Products and shall restrict any distributors or other resellers of the Products appointed for countries outside the Territory from actively supplying the Products to customers based in the Territory. Distributor acknowledges, however, that passive sales of the Products by Anandic or its distributors outside of the Territory to customers in the Territory may not be prohibited.</w:t>
      </w:r>
    </w:p>
    <w:p>
      <w:pPr>
        <w:pStyle w:val="AText"/>
        <w:numPr>
          <w:ilvl w:val="4"/>
          <w:numId w:val="12"/>
        </w:numPr>
        <w:rPr/>
      </w:pPr>
      <w:bookmarkStart w:id="15" w:name="_Ref98948083"/>
      <w:r>
        <w:rPr/>
        <w:t>During the term of this Agreement, Distributor shall not directly or indirectly sell any products competing with the Products without Distributor's prior written consent.</w:t>
      </w:r>
      <w:bookmarkEnd w:id="15"/>
    </w:p>
    <w:p>
      <w:pPr>
        <w:pStyle w:val="1Title"/>
        <w:numPr>
          <w:ilvl w:val="0"/>
          <w:numId w:val="12"/>
        </w:numPr>
        <w:rPr/>
      </w:pPr>
      <w:bookmarkStart w:id="16" w:name="_Toc99036779"/>
      <w:r>
        <w:rPr/>
        <w:t>Terms of Sale</w:t>
      </w:r>
      <w:bookmarkEnd w:id="16"/>
    </w:p>
    <w:p>
      <w:pPr>
        <w:pStyle w:val="11Title"/>
        <w:numPr>
          <w:ilvl w:val="1"/>
          <w:numId w:val="12"/>
        </w:numPr>
        <w:rPr/>
      </w:pPr>
      <w:bookmarkStart w:id="17" w:name="_Ref98948250"/>
      <w:bookmarkStart w:id="18" w:name="_Toc99036780"/>
      <w:r>
        <w:rPr/>
        <w:t>Forecasts</w:t>
      </w:r>
      <w:bookmarkEnd w:id="17"/>
      <w:bookmarkEnd w:id="18"/>
    </w:p>
    <w:p>
      <w:pPr>
        <w:pStyle w:val="Text1"/>
        <w:rPr/>
      </w:pPr>
      <w:r>
        <w:rPr/>
        <w:t>Distributor shall at the beginning of the cooperation and at the beginning of each calendar quarter submit a written rolling forecast of its anticipated purchases from Anandic for the following twelve (12) months period. The forecast for the first three (3) months of said rolling twelve (12) months forecast shall be considered binding ("Binding Forecast") and the forecast for the nine (9) months thereafter shall be considered non-binding (Schedule E (Forecast</w:t>
      </w:r>
      <w:bookmarkStart w:id="19" w:name="_Toc99036781"/>
    </w:p>
    <w:p>
      <w:pPr>
        <w:pStyle w:val="Text1"/>
        <w:rPr/>
      </w:pPr>
      <w:r>
        <w:rPr/>
        <w:t>Ordering of Products</w:t>
      </w:r>
      <w:bookmarkEnd w:id="19"/>
      <w:r>
        <w:rPr/>
        <w:t xml:space="preserve">  </w:t>
      </w:r>
    </w:p>
    <w:p>
      <w:pPr>
        <w:pStyle w:val="AText"/>
        <w:numPr>
          <w:ilvl w:val="4"/>
          <w:numId w:val="12"/>
        </w:numPr>
        <w:rPr/>
      </w:pPr>
      <w:r>
        <w:rPr/>
        <w:t>Distributor shall place purchase orders to Anandic by regular mail, facsimile, and/or e-mail and Anandic shall confirm an order within three (3) working days by the same means. Any order not confirmed within three (3) working days is considered to be not accepted.</w:t>
      </w:r>
    </w:p>
    <w:p>
      <w:pPr>
        <w:pStyle w:val="AText"/>
        <w:numPr>
          <w:ilvl w:val="4"/>
          <w:numId w:val="12"/>
        </w:numPr>
        <w:rPr/>
      </w:pPr>
      <w:r>
        <w:rPr/>
        <w:t>The estimated delivery lead time will be indicated by Anandic in the confirmation of the purchase order.</w:t>
      </w:r>
    </w:p>
    <w:p>
      <w:pPr>
        <w:pStyle w:val="AText"/>
        <w:numPr>
          <w:ilvl w:val="4"/>
          <w:numId w:val="12"/>
        </w:numPr>
        <w:rPr/>
      </w:pPr>
      <w:r>
        <w:rPr/>
        <w:t xml:space="preserve">The estimated date of delivery specified in the confirmation is non-binding. If Anandic believes that it will not be able to satisfy the estimated date of delivery, it shall promptly notify Distributor indicating the new estimated date of delivery. Distributor shall not be entitled to claim damages if any estimated date of delivery is not met. Distributor might, however, rescind the respective purchase order if, after setting a reasonable additional deadline for delivery, Anandic is not able to deliver the respective order. </w:t>
      </w:r>
    </w:p>
    <w:p>
      <w:pPr>
        <w:pStyle w:val="AText"/>
        <w:numPr>
          <w:ilvl w:val="4"/>
          <w:numId w:val="12"/>
        </w:numPr>
        <w:rPr/>
      </w:pPr>
      <w:bookmarkStart w:id="20" w:name="_Ref59441299"/>
      <w:r>
        <w:rPr/>
        <w:t>Unless otherwise agreed between the Parties, Distributor shall at all times have sufficient Products on stock in order to meet the foreseeable customer demand in the Territory for the following two (2) months.</w:t>
      </w:r>
      <w:bookmarkEnd w:id="20"/>
    </w:p>
    <w:p>
      <w:pPr>
        <w:pStyle w:val="11Title"/>
        <w:numPr>
          <w:ilvl w:val="1"/>
          <w:numId w:val="12"/>
        </w:numPr>
        <w:rPr/>
      </w:pPr>
      <w:bookmarkStart w:id="21" w:name="_Toc59471189"/>
      <w:bookmarkStart w:id="22" w:name="_Ref71529901"/>
      <w:bookmarkStart w:id="23" w:name="_Toc99036782"/>
      <w:r>
        <w:rPr/>
        <w:t>Delivery, Transfer of Risk and Title</w:t>
      </w:r>
      <w:bookmarkEnd w:id="21"/>
      <w:bookmarkEnd w:id="22"/>
      <w:bookmarkEnd w:id="23"/>
    </w:p>
    <w:p>
      <w:pPr>
        <w:pStyle w:val="Text1"/>
        <w:rPr/>
      </w:pPr>
      <w:r>
        <w:rPr/>
        <w:t>The Products shall be delivered EXW (Ex Works) (Incoterms 2020) at the facility of Anandic in Feuerthalen, Switzerland or Shenzen China , with risk of loss and damage and title to the Products passing to Distributor upon their proper handover to the carrier.</w:t>
      </w:r>
    </w:p>
    <w:p>
      <w:pPr>
        <w:pStyle w:val="11Title"/>
        <w:numPr>
          <w:ilvl w:val="1"/>
          <w:numId w:val="12"/>
        </w:numPr>
        <w:rPr/>
      </w:pPr>
      <w:bookmarkStart w:id="24" w:name="_Toc99036783"/>
      <w:r>
        <w:rPr/>
        <w:t>Pricing and Payment terms</w:t>
      </w:r>
      <w:bookmarkEnd w:id="24"/>
    </w:p>
    <w:p>
      <w:pPr>
        <w:pStyle w:val="AText"/>
        <w:numPr>
          <w:ilvl w:val="4"/>
          <w:numId w:val="12"/>
        </w:numPr>
        <w:rPr>
          <w:lang w:val="en-GB"/>
        </w:rPr>
      </w:pPr>
      <w:r>
        <w:rPr/>
        <w:t xml:space="preserve">Net prices for the Products shall be set forth in </w:t>
      </w:r>
      <w:r>
        <w:rPr>
          <w:u w:val="single"/>
        </w:rPr>
        <w:t>Schedule A</w:t>
      </w:r>
      <w:r>
        <w:rPr/>
        <w:t xml:space="preserve"> hereto. These prices are EXW (Ex Works) (Incoterms 2020) as stated in Section </w:t>
      </w:r>
      <w:r>
        <w:rPr/>
        <w:fldChar w:fldCharType="begin"/>
      </w:r>
      <w:r>
        <w:rPr/>
        <w:instrText xml:space="preserve"> REF _Ref71529901 \r \h </w:instrText>
      </w:r>
      <w:r>
        <w:rPr/>
        <w:fldChar w:fldCharType="separate"/>
      </w:r>
      <w:r>
        <w:rPr/>
        <w:t>2.2</w:t>
      </w:r>
      <w:r>
        <w:rPr/>
        <w:fldChar w:fldCharType="end"/>
      </w:r>
      <w:r>
        <w:rPr/>
        <w:t xml:space="preserve"> above. All </w:t>
      </w:r>
      <w:r>
        <w:rPr>
          <w:rFonts w:cs="" w:cstheme="minorBidi"/>
        </w:rPr>
        <w:t xml:space="preserve">transportation charges, taxes, duties and other expenses arising from the purchase and importation of the Products into its Territory shall be borne by Distributor. </w:t>
      </w:r>
    </w:p>
    <w:p>
      <w:pPr>
        <w:pStyle w:val="AText"/>
        <w:numPr>
          <w:ilvl w:val="4"/>
          <w:numId w:val="12"/>
        </w:numPr>
        <w:rPr/>
      </w:pPr>
      <w:r>
        <w:rPr/>
        <w:t xml:space="preserve">Anandic is free to change the prices from time to time. Any price change must be communicated to Distributor at least three (3) months in advance, and will apply to any orders placed by the Distributor after completion of such notice period. </w:t>
      </w:r>
    </w:p>
    <w:p>
      <w:pPr>
        <w:pStyle w:val="AText"/>
        <w:numPr>
          <w:ilvl w:val="4"/>
          <w:numId w:val="12"/>
        </w:numPr>
        <w:rPr/>
      </w:pPr>
      <w:r>
        <w:rPr/>
        <w:t>Anandic shall have no influence on the pricing of the Products by Distributor to its customers.</w:t>
      </w:r>
    </w:p>
    <w:p>
      <w:pPr>
        <w:pStyle w:val="AText"/>
        <w:numPr>
          <w:ilvl w:val="4"/>
          <w:numId w:val="12"/>
        </w:numPr>
        <w:rPr/>
      </w:pPr>
      <w:r>
        <w:rPr/>
        <w:t xml:space="preserve">All payments due to Anandic shall be paid in accordance with the payment terms set forth in </w:t>
      </w:r>
      <w:r>
        <w:rPr>
          <w:u w:val="single"/>
        </w:rPr>
        <w:t>Schedule C</w:t>
      </w:r>
      <w:r>
        <w:rPr/>
        <w:t xml:space="preserve"> hereto.</w:t>
      </w:r>
    </w:p>
    <w:p>
      <w:pPr>
        <w:pStyle w:val="1Title"/>
        <w:numPr>
          <w:ilvl w:val="0"/>
          <w:numId w:val="12"/>
        </w:numPr>
        <w:rPr/>
      </w:pPr>
      <w:bookmarkStart w:id="25" w:name="_Toc99036784"/>
      <w:r>
        <w:rPr/>
        <w:t>Quality, Warranty and Liability</w:t>
      </w:r>
      <w:bookmarkEnd w:id="25"/>
    </w:p>
    <w:p>
      <w:pPr>
        <w:pStyle w:val="11Title"/>
        <w:numPr>
          <w:ilvl w:val="1"/>
          <w:numId w:val="12"/>
        </w:numPr>
        <w:rPr/>
      </w:pPr>
      <w:bookmarkStart w:id="26" w:name="_Ref98947113"/>
      <w:bookmarkStart w:id="27" w:name="_Toc99036785"/>
      <w:r>
        <w:rPr/>
        <w:t>Quality and Product Warranty</w:t>
      </w:r>
      <w:bookmarkEnd w:id="26"/>
      <w:bookmarkEnd w:id="27"/>
    </w:p>
    <w:p>
      <w:pPr>
        <w:pStyle w:val="AText"/>
        <w:numPr>
          <w:ilvl w:val="4"/>
          <w:numId w:val="12"/>
        </w:numPr>
        <w:rPr/>
      </w:pPr>
      <w:r>
        <w:rPr/>
        <w:t>Anandic warrants that any Product sold to Distributor hereunder shall be free from defects in design, material and workmanship at the time of delivery.</w:t>
      </w:r>
    </w:p>
    <w:p>
      <w:pPr>
        <w:pStyle w:val="AText"/>
        <w:numPr>
          <w:ilvl w:val="4"/>
          <w:numId w:val="12"/>
        </w:numPr>
        <w:rPr/>
      </w:pPr>
      <w:r>
        <w:rPr/>
        <w:t xml:space="preserve">All deliveries of Products shall be examined by Distributor to verify whether they are complete and do not have any visual damage upon arrival at Distributors facility and Distributor shall inform Anandic of any non-compliance within five (5) working days. Any defects or other non-compliances not discoverable by a visual inspection shall be notified to Anandic within five (5) working days upon Distributor's knowledge. </w:t>
      </w:r>
    </w:p>
    <w:p>
      <w:pPr>
        <w:pStyle w:val="AText"/>
        <w:numPr>
          <w:ilvl w:val="4"/>
          <w:numId w:val="12"/>
        </w:numPr>
        <w:rPr/>
      </w:pPr>
      <w:r>
        <w:rPr/>
        <w:t>In the event of defects or other non-compliances, Anandic shall fulfill the warranty claim only by replacement with a defect-free Product. Any other remedy of the Distributor, including any claim for damages, shall be excluded to the fullest extent possible under applicable laws.</w:t>
      </w:r>
    </w:p>
    <w:p>
      <w:pPr>
        <w:pStyle w:val="AText"/>
        <w:numPr>
          <w:ilvl w:val="4"/>
          <w:numId w:val="12"/>
        </w:numPr>
        <w:rPr>
          <w:lang w:val="en-GB"/>
        </w:rPr>
      </w:pPr>
      <w:r>
        <w:rPr/>
        <w:t>Any warranty claim raised by Distributor more than six (6) months after the time of delivery shall be time-barred, irrespective of whether the defect was discoverable by a visual inspection at the time of delivery or not. If the shelf life of the Product as indicated by the legal manufacturer on the Product in question has not yet lapsed, Anandic shall upon request of the Distributor also after said six months period raise a warranty claim with Medker and if such claim is fulfilled by Medker, provide Distributor with a defect-free Product.</w:t>
      </w:r>
    </w:p>
    <w:p>
      <w:pPr>
        <w:pStyle w:val="11Title"/>
        <w:numPr>
          <w:ilvl w:val="1"/>
          <w:numId w:val="12"/>
        </w:numPr>
        <w:rPr/>
      </w:pPr>
      <w:bookmarkStart w:id="28" w:name="_Ref71531863"/>
      <w:bookmarkStart w:id="29" w:name="_Ref71552602"/>
      <w:bookmarkStart w:id="30" w:name="_Toc99036786"/>
      <w:r>
        <w:rPr/>
        <w:t>Liability</w:t>
      </w:r>
      <w:bookmarkEnd w:id="28"/>
      <w:bookmarkEnd w:id="29"/>
      <w:bookmarkEnd w:id="30"/>
    </w:p>
    <w:p>
      <w:pPr>
        <w:pStyle w:val="AText"/>
        <w:numPr>
          <w:ilvl w:val="4"/>
          <w:numId w:val="12"/>
        </w:numPr>
        <w:rPr/>
      </w:pPr>
      <w:r>
        <w:rPr/>
        <w:t>Either Party shall be liable to the other Party for any damages incurred arising from a breach of this Agreement. Distributor shall be liable to Anandic for any acts or omissions performed by its agents and sub-distributors (if any) as if it had performed them itself.</w:t>
      </w:r>
    </w:p>
    <w:p>
      <w:pPr>
        <w:pStyle w:val="AText"/>
        <w:numPr>
          <w:ilvl w:val="4"/>
          <w:numId w:val="12"/>
        </w:numPr>
        <w:rPr/>
      </w:pPr>
      <w:r>
        <w:rPr/>
        <w:t xml:space="preserve">Any liability of Anandic for defective Products is exclusively governed by Section </w:t>
      </w:r>
      <w:r>
        <w:rPr/>
        <w:fldChar w:fldCharType="begin"/>
      </w:r>
      <w:r>
        <w:rPr/>
        <w:instrText xml:space="preserve"> REF _Ref98947113 \r \h </w:instrText>
      </w:r>
      <w:r>
        <w:rPr/>
        <w:fldChar w:fldCharType="separate"/>
      </w:r>
      <w:r>
        <w:rPr/>
        <w:t>3.1</w:t>
      </w:r>
      <w:r>
        <w:rPr/>
        <w:fldChar w:fldCharType="end"/>
      </w:r>
      <w:r>
        <w:rPr/>
        <w:t xml:space="preserve"> and any further liability for defective Products is excluded to the fullest extent possible under applicable laws</w:t>
      </w:r>
    </w:p>
    <w:p>
      <w:pPr>
        <w:pStyle w:val="11Title"/>
        <w:numPr>
          <w:ilvl w:val="1"/>
          <w:numId w:val="12"/>
        </w:numPr>
        <w:rPr/>
      </w:pPr>
      <w:bookmarkStart w:id="31" w:name="_Toc99036787"/>
      <w:r>
        <w:rPr/>
        <w:t>Insurance</w:t>
      </w:r>
      <w:bookmarkEnd w:id="31"/>
    </w:p>
    <w:p>
      <w:pPr>
        <w:pStyle w:val="Text1"/>
        <w:rPr/>
      </w:pPr>
      <w:r>
        <w:rPr/>
        <w:t>During the term of this Agreement, either Party shall procure and maintain in full force and effect proper insurance to cover its liabilities and responsibilities under this Agreement. Upon request of a Party, the other Party shall promptly provide proof of the maintenance of such insurance coverage.</w:t>
      </w:r>
    </w:p>
    <w:p>
      <w:pPr>
        <w:pStyle w:val="1Title"/>
        <w:numPr>
          <w:ilvl w:val="0"/>
          <w:numId w:val="12"/>
        </w:numPr>
        <w:rPr/>
      </w:pPr>
      <w:bookmarkStart w:id="32" w:name="_Toc99036788"/>
      <w:r>
        <w:rPr/>
        <w:t>Marketing Activities , Customer Support and Sales Targets</w:t>
      </w:r>
      <w:bookmarkEnd w:id="32"/>
    </w:p>
    <w:p>
      <w:pPr>
        <w:pStyle w:val="11Title"/>
        <w:numPr>
          <w:ilvl w:val="1"/>
          <w:numId w:val="12"/>
        </w:numPr>
        <w:rPr/>
      </w:pPr>
      <w:bookmarkStart w:id="33" w:name="_Toc99036789"/>
      <w:r>
        <w:rPr/>
        <w:t>Distributor’s Obligations</w:t>
      </w:r>
      <w:bookmarkEnd w:id="33"/>
    </w:p>
    <w:p>
      <w:pPr>
        <w:pStyle w:val="AText"/>
        <w:numPr>
          <w:ilvl w:val="4"/>
          <w:numId w:val="12"/>
        </w:numPr>
        <w:rPr/>
      </w:pPr>
      <w:r>
        <w:rPr/>
        <w:t>Distributor agrees to devote its commercially reasonable efforts to</w:t>
      </w:r>
      <w:bookmarkStart w:id="34" w:name="_Ref59437469"/>
      <w:r>
        <w:rPr/>
        <w:t xml:space="preserve"> develop and promote the use and sale of the Products in the Territory. </w:t>
      </w:r>
      <w:bookmarkStart w:id="35" w:name="_Ref59437834"/>
      <w:r>
        <w:rPr/>
        <w:t>Distributor shall use commercially reasonable efforts to advertise, promote, sell, exhibit, and otherwise create a demand for the Products in the Territory at its own cost using methods that are suited best for this purpose.</w:t>
      </w:r>
      <w:bookmarkEnd w:id="35"/>
      <w:r>
        <w:rPr/>
        <w:t xml:space="preserve"> </w:t>
      </w:r>
    </w:p>
    <w:p>
      <w:pPr>
        <w:pStyle w:val="AText"/>
        <w:numPr>
          <w:ilvl w:val="4"/>
          <w:numId w:val="12"/>
        </w:numPr>
        <w:rPr/>
      </w:pPr>
      <w:r>
        <w:rPr/>
        <w:t>Distributor shall, at its own cost, offer commercially reasonable customer support to its customers.</w:t>
      </w:r>
    </w:p>
    <w:p>
      <w:pPr>
        <w:pStyle w:val="AText"/>
        <w:numPr>
          <w:ilvl w:val="4"/>
          <w:numId w:val="12"/>
        </w:numPr>
        <w:rPr/>
      </w:pPr>
      <w:bookmarkStart w:id="36" w:name="_Ref98948350"/>
      <w:r>
        <w:rPr/>
        <w:t xml:space="preserve">The Parties agree that Distributor shall meet the sales targets as set forth in </w:t>
      </w:r>
      <w:r>
        <w:rPr>
          <w:u w:val="single"/>
        </w:rPr>
        <w:t>Schedule D</w:t>
      </w:r>
      <w:r>
        <w:rPr/>
        <w:t xml:space="preserve"> ("</w:t>
      </w:r>
      <w:r>
        <w:rPr>
          <w:b/>
        </w:rPr>
        <w:t>Sales Targets</w:t>
      </w:r>
      <w:r>
        <w:rPr/>
        <w:t xml:space="preserve">"). The Parties may agree to change these Sales Targets from time to time. If the Distributor does not meet such Sales Targets, Anandic shall be entitled to terminate this Agreement as set forth in Section </w:t>
      </w:r>
      <w:r>
        <w:rPr>
          <w:highlight w:val="yellow"/>
        </w:rPr>
        <w:fldChar w:fldCharType="begin"/>
      </w:r>
      <w:r>
        <w:rPr>
          <w:highlight w:val="yellow"/>
        </w:rPr>
        <w:instrText xml:space="preserve"> REF _Ref98948307 \r \h </w:instrText>
      </w:r>
      <w:r>
        <w:rPr>
          <w:highlight w:val="yellow"/>
        </w:rPr>
        <w:fldChar w:fldCharType="separate"/>
      </w:r>
      <w:r>
        <w:rPr>
          <w:highlight w:val="yellow"/>
        </w:rPr>
        <w:t>9.2</w:t>
      </w:r>
      <w:r>
        <w:rPr>
          <w:highlight w:val="yellow"/>
        </w:rPr>
        <w:fldChar w:fldCharType="end"/>
      </w:r>
      <w:r>
        <w:rPr/>
        <w:t>.</w:t>
      </w:r>
      <w:bookmarkEnd w:id="36"/>
    </w:p>
    <w:p>
      <w:pPr>
        <w:pStyle w:val="11Title"/>
        <w:numPr>
          <w:ilvl w:val="1"/>
          <w:numId w:val="12"/>
        </w:numPr>
        <w:rPr/>
      </w:pPr>
      <w:bookmarkStart w:id="37" w:name="_Toc99036790"/>
      <w:bookmarkEnd w:id="34"/>
      <w:r>
        <w:rPr/>
        <w:t>Anandic's obligations</w:t>
      </w:r>
      <w:bookmarkEnd w:id="37"/>
    </w:p>
    <w:p>
      <w:pPr>
        <w:pStyle w:val="Text1"/>
        <w:rPr>
          <w:strike/>
        </w:rPr>
      </w:pPr>
      <w:r>
        <w:rPr/>
        <w:t>Anandic shall provide Distributor with assistance reasonably requested by Distributor for distribution, marketing, promotional and regulatory purposes.</w:t>
      </w:r>
      <w:r>
        <w:rPr>
          <w:strike/>
        </w:rPr>
        <w:t xml:space="preserve"> </w:t>
      </w:r>
    </w:p>
    <w:p>
      <w:pPr>
        <w:pStyle w:val="11Title"/>
        <w:numPr>
          <w:ilvl w:val="1"/>
          <w:numId w:val="12"/>
        </w:numPr>
        <w:rPr/>
      </w:pPr>
      <w:bookmarkStart w:id="38" w:name="_Toc99036791"/>
      <w:r>
        <w:rPr/>
        <w:t>Review Meetings and Sales Targets</w:t>
      </w:r>
      <w:bookmarkEnd w:id="38"/>
    </w:p>
    <w:p>
      <w:pPr>
        <w:pStyle w:val="Text1"/>
        <w:rPr/>
      </w:pPr>
      <w:r>
        <w:rPr/>
        <w:t>The Parties shall regularly, but at least once per year, schedule review meetings in order to discuss marketing, regulatory and other business related topics.</w:t>
      </w:r>
    </w:p>
    <w:p>
      <w:pPr>
        <w:pStyle w:val="1Title"/>
        <w:numPr>
          <w:ilvl w:val="0"/>
          <w:numId w:val="12"/>
        </w:numPr>
        <w:rPr/>
      </w:pPr>
      <w:bookmarkStart w:id="39" w:name="_Ref71551466"/>
      <w:bookmarkStart w:id="40" w:name="_Toc99036792"/>
      <w:r>
        <w:rPr/>
        <w:t>Regulatory</w:t>
      </w:r>
      <w:bookmarkEnd w:id="39"/>
      <w:bookmarkEnd w:id="40"/>
      <w:r>
        <w:rPr/>
        <w:t xml:space="preserve"> </w:t>
      </w:r>
    </w:p>
    <w:p>
      <w:pPr>
        <w:pStyle w:val="AText"/>
        <w:numPr>
          <w:ilvl w:val="4"/>
          <w:numId w:val="12"/>
        </w:numPr>
        <w:rPr/>
      </w:pPr>
      <w:r>
        <w:rPr/>
        <w:t>Either Party shall comply with the medical device regulation and any other applicable laws and regulations as amended from time to time ("</w:t>
      </w:r>
      <w:r>
        <w:rPr>
          <w:b/>
        </w:rPr>
        <w:t>Applicable Legislation</w:t>
      </w:r>
      <w:r>
        <w:rPr/>
        <w:t>").</w:t>
      </w:r>
    </w:p>
    <w:p>
      <w:pPr>
        <w:pStyle w:val="AText"/>
        <w:numPr>
          <w:ilvl w:val="4"/>
          <w:numId w:val="12"/>
        </w:numPr>
        <w:rPr/>
      </w:pPr>
      <w:r>
        <w:rPr/>
        <w:t xml:space="preserve">The Parties shall comply with the requirements as set forth in </w:t>
      </w:r>
      <w:r>
        <w:rPr>
          <w:u w:val="single"/>
        </w:rPr>
        <w:t>Schedule E</w:t>
      </w:r>
      <w:r>
        <w:rPr/>
        <w:t>. The Parties shall consult and agree in good faith on any regulatory aspect not dealt with in Schedule E or which arises due to a change of the Applicable Legislation.</w:t>
      </w:r>
    </w:p>
    <w:p>
      <w:pPr>
        <w:pStyle w:val="1Title"/>
        <w:numPr>
          <w:ilvl w:val="0"/>
          <w:numId w:val="12"/>
        </w:numPr>
        <w:rPr/>
      </w:pPr>
      <w:bookmarkStart w:id="41" w:name="_Toc99036793"/>
      <w:r>
        <w:rPr/>
        <w:t>Intellectual Property</w:t>
      </w:r>
      <w:bookmarkEnd w:id="41"/>
    </w:p>
    <w:p>
      <w:pPr>
        <w:pStyle w:val="AText"/>
        <w:numPr>
          <w:ilvl w:val="4"/>
          <w:numId w:val="12"/>
        </w:numPr>
        <w:rPr/>
      </w:pPr>
      <w:r>
        <w:rPr/>
        <w:t>Distributor hereby grants to Anandic the right and license to use those trademarks, service marks, trade names, and trademark registrations of Medker and/or Anandic used on or in conjunction with the Products (the "</w:t>
      </w:r>
      <w:r>
        <w:rPr>
          <w:b/>
        </w:rPr>
        <w:t>Trademarks</w:t>
      </w:r>
      <w:r>
        <w:rPr/>
        <w:t xml:space="preserve">"). </w:t>
      </w:r>
    </w:p>
    <w:p>
      <w:pPr>
        <w:pStyle w:val="AText"/>
        <w:numPr>
          <w:ilvl w:val="4"/>
          <w:numId w:val="12"/>
        </w:numPr>
        <w:rPr/>
      </w:pPr>
      <w:r>
        <w:rPr/>
        <w:t xml:space="preserve">Distributor shall not itself register any Trademarks. Distributor will inform Anandic of any unlawful use of the Trademarks it becomes aware of and will provide reasonable assistance to Anandic and/or Medker for its defense, if requested. </w:t>
      </w:r>
    </w:p>
    <w:p>
      <w:pPr>
        <w:pStyle w:val="AText"/>
        <w:numPr>
          <w:ilvl w:val="4"/>
          <w:numId w:val="12"/>
        </w:numPr>
        <w:rPr/>
      </w:pPr>
      <w:r>
        <w:rPr/>
        <w:t>Anandic allows Distributor to make use of existing copyrights and to use and copy Anandic's promotional and other material related to the Products for the purposes of this Agreement.</w:t>
      </w:r>
    </w:p>
    <w:p>
      <w:pPr>
        <w:pStyle w:val="1Title"/>
        <w:numPr>
          <w:ilvl w:val="0"/>
          <w:numId w:val="12"/>
        </w:numPr>
        <w:rPr/>
      </w:pPr>
      <w:bookmarkStart w:id="42" w:name="_Ref71552590"/>
      <w:bookmarkStart w:id="43" w:name="_Toc99036794"/>
      <w:r>
        <w:rPr/>
        <w:t>Confidentiality</w:t>
      </w:r>
      <w:bookmarkEnd w:id="42"/>
      <w:bookmarkEnd w:id="43"/>
    </w:p>
    <w:p>
      <w:pPr>
        <w:pStyle w:val="AText"/>
        <w:numPr>
          <w:ilvl w:val="4"/>
          <w:numId w:val="12"/>
        </w:numPr>
        <w:rPr/>
      </w:pPr>
      <w:r>
        <w:rPr/>
        <w:t xml:space="preserve">Either Party agrees that it shall keep confidential and shall not publish or otherwise divulge or use for its own benefit or for the benefit of any third party any information of a confidential or proprietary nature furnished to it by the other Party for other purposes than the performance of this Agreement without the prior written approval of the communicating Party, except as required by court order or any applicable laws. </w:t>
      </w:r>
    </w:p>
    <w:p>
      <w:pPr>
        <w:pStyle w:val="AText"/>
        <w:numPr>
          <w:ilvl w:val="4"/>
          <w:numId w:val="12"/>
        </w:numPr>
        <w:rPr/>
      </w:pPr>
      <w:r>
        <w:rPr/>
        <w:t>Information of a confidential or proprietary nature shall include, but not be limited to, information concerning marketing plans or materials, manufacturing processes or financial information in whatever form not generally known to the public.</w:t>
      </w:r>
    </w:p>
    <w:p>
      <w:pPr>
        <w:pStyle w:val="1Title"/>
        <w:numPr>
          <w:ilvl w:val="0"/>
          <w:numId w:val="12"/>
        </w:numPr>
        <w:rPr/>
      </w:pPr>
      <w:bookmarkStart w:id="44" w:name="_Toc99036795"/>
      <w:r>
        <w:rPr/>
        <w:t>Force Majeure</w:t>
      </w:r>
      <w:bookmarkEnd w:id="44"/>
    </w:p>
    <w:p>
      <w:pPr>
        <w:pStyle w:val="AText"/>
        <w:numPr>
          <w:ilvl w:val="4"/>
          <w:numId w:val="12"/>
        </w:numPr>
        <w:rPr/>
      </w:pPr>
      <w:r>
        <w:rPr/>
        <w:t>In the event that a delay or failure of a Party to comply with an obligation under this Agreement is caused by a Force Majeure (as defined below) condition, that obligation shall be suspended during the continuance of the Force Majeure condition. For the purposes of this Agreement, the term "</w:t>
      </w:r>
      <w:r>
        <w:rPr>
          <w:b/>
        </w:rPr>
        <w:t>Force Majeure</w:t>
      </w:r>
      <w:r>
        <w:rPr/>
        <w:t>" shall mean any condition beyond the reasonable control of the Parties, including, without limitation, fire, flood, riots, strikes, epidemics, pandemics, war, unavoidable shortage of materials, acts or defaults of carriers, embargoes, and governmental actions or decrees.</w:t>
      </w:r>
    </w:p>
    <w:p>
      <w:pPr>
        <w:pStyle w:val="AText"/>
        <w:numPr>
          <w:ilvl w:val="4"/>
          <w:numId w:val="12"/>
        </w:numPr>
        <w:rPr/>
      </w:pPr>
      <w:r>
        <w:rPr/>
        <w:t>Such excuse shall continue as long as the Force Majeure event continues. Upon cessation of such Force Majeure event, the affected Party shall promptly resume performance under this Agreement.</w:t>
      </w:r>
    </w:p>
    <w:p>
      <w:pPr>
        <w:pStyle w:val="AText"/>
        <w:numPr>
          <w:ilvl w:val="4"/>
          <w:numId w:val="12"/>
        </w:numPr>
        <w:rPr/>
      </w:pPr>
      <w:r>
        <w:rPr/>
        <w:t>A Party affected by a Force Majeure event will give the other Party prompt written notice, to the extent possible, of the occurrence of any Force Majeure condition, the nature thereof, and the extent to which it will be unable to fully perform its obligations under the Agreement. Such Party will use commercially reasonable efforts to resume performance or mitigate the effects of the Force Majeure event as quickly as practicable and to give the other Party prompt written notice when it is again fully able to perform such obligations.</w:t>
      </w:r>
    </w:p>
    <w:p>
      <w:pPr>
        <w:pStyle w:val="1Title"/>
        <w:numPr>
          <w:ilvl w:val="0"/>
          <w:numId w:val="12"/>
        </w:numPr>
        <w:rPr/>
      </w:pPr>
      <w:bookmarkStart w:id="45" w:name="_Toc99036796"/>
      <w:r>
        <w:rPr/>
        <w:t>Term and Termination</w:t>
      </w:r>
      <w:bookmarkEnd w:id="45"/>
    </w:p>
    <w:p>
      <w:pPr>
        <w:pStyle w:val="11Title"/>
        <w:numPr>
          <w:ilvl w:val="1"/>
          <w:numId w:val="12"/>
        </w:numPr>
        <w:rPr/>
      </w:pPr>
      <w:bookmarkStart w:id="46" w:name="_Toc59471229"/>
      <w:bookmarkStart w:id="47" w:name="_Toc99036797"/>
      <w:r>
        <w:rPr/>
        <w:t>Term</w:t>
      </w:r>
      <w:bookmarkEnd w:id="46"/>
      <w:bookmarkEnd w:id="47"/>
    </w:p>
    <w:p>
      <w:pPr>
        <w:pStyle w:val="AText"/>
        <w:numPr>
          <w:ilvl w:val="4"/>
          <w:numId w:val="12"/>
        </w:numPr>
        <w:rPr/>
      </w:pPr>
      <w:r>
        <w:rPr/>
        <w:t>This Agreement shall become effective on 18.12.2023 (the "</w:t>
      </w:r>
      <w:r>
        <w:rPr>
          <w:b/>
        </w:rPr>
        <w:t>Effective Date</w:t>
      </w:r>
      <w:r>
        <w:rPr/>
        <w:t>") and shall remain in effect for a period of two (2) calendar years (the "</w:t>
      </w:r>
      <w:r>
        <w:rPr>
          <w:b/>
        </w:rPr>
        <w:t>Initial Term</w:t>
      </w:r>
      <w:r>
        <w:rPr/>
        <w:t xml:space="preserve">"). </w:t>
      </w:r>
    </w:p>
    <w:p>
      <w:pPr>
        <w:pStyle w:val="AText"/>
        <w:numPr>
          <w:ilvl w:val="4"/>
          <w:numId w:val="12"/>
        </w:numPr>
        <w:rPr/>
      </w:pPr>
      <w:r>
        <w:rPr/>
        <w:t>The Agreement shall be extended automatically by periods of one (1) calendar year (the "Extension Period(s)"), unless the Agreement is terminated by one of the Parties with three (3) months prior written notice effective as of the end of the Initial Term and/or the Extension Period(s).</w:t>
      </w:r>
    </w:p>
    <w:p>
      <w:pPr>
        <w:pStyle w:val="11Title"/>
        <w:numPr>
          <w:ilvl w:val="1"/>
          <w:numId w:val="12"/>
        </w:numPr>
        <w:rPr/>
      </w:pPr>
      <w:bookmarkStart w:id="48" w:name="_Ref98948307"/>
      <w:bookmarkStart w:id="49" w:name="_Ref98948320"/>
      <w:bookmarkStart w:id="50" w:name="_Toc99036798"/>
      <w:r>
        <w:rPr/>
        <w:t>Termination for Cause</w:t>
      </w:r>
      <w:bookmarkEnd w:id="48"/>
      <w:bookmarkEnd w:id="49"/>
      <w:bookmarkEnd w:id="50"/>
    </w:p>
    <w:p>
      <w:pPr>
        <w:pStyle w:val="AText"/>
        <w:numPr>
          <w:ilvl w:val="4"/>
          <w:numId w:val="12"/>
        </w:numPr>
        <w:rPr/>
      </w:pPr>
      <w:r>
        <w:rPr/>
        <w:t>This Agreement may be terminated in writing for cause (important reasons) with immediate effect.</w:t>
      </w:r>
    </w:p>
    <w:p>
      <w:pPr>
        <w:pStyle w:val="AText"/>
        <w:numPr>
          <w:ilvl w:val="4"/>
          <w:numId w:val="12"/>
        </w:numPr>
        <w:rPr/>
      </w:pPr>
      <w:r>
        <w:rPr/>
        <w:t>Reasons for cause for a termination by either Party are including, without limitation, the following instances:</w:t>
      </w:r>
    </w:p>
    <w:p>
      <w:pPr>
        <w:pStyle w:val="IText"/>
        <w:numPr>
          <w:ilvl w:val="5"/>
          <w:numId w:val="12"/>
        </w:numPr>
        <w:rPr/>
      </w:pPr>
      <w:r>
        <w:rPr/>
        <w:t>The other Party's breach of a material obligation under this Agreement, including but not limited to Distributor's failure to receive consent for distributing competing products (Section </w:t>
      </w:r>
      <w:r>
        <w:rPr/>
        <w:fldChar w:fldCharType="begin"/>
      </w:r>
      <w:r>
        <w:rPr/>
        <w:instrText xml:space="preserve"> REF _Ref98948083 \r \h </w:instrText>
      </w:r>
      <w:r>
        <w:rPr/>
        <w:fldChar w:fldCharType="separate"/>
      </w:r>
      <w:r>
        <w:rPr/>
        <w:t>1.3.1.1(b)</w:t>
      </w:r>
      <w:r>
        <w:rPr/>
        <w:fldChar w:fldCharType="end"/>
      </w:r>
      <w:r>
        <w:rPr/>
        <w:t>), Distributor's failure to meet the Binding Forecast (Section </w:t>
      </w:r>
      <w:r>
        <w:rPr/>
        <w:fldChar w:fldCharType="begin"/>
      </w:r>
      <w:r>
        <w:rPr/>
        <w:instrText xml:space="preserve"> REF _Ref98948250 \r \h </w:instrText>
      </w:r>
      <w:r>
        <w:rPr/>
        <w:fldChar w:fldCharType="separate"/>
      </w:r>
      <w:r>
        <w:rPr/>
        <w:t>2.1</w:t>
      </w:r>
      <w:r>
        <w:rPr/>
        <w:fldChar w:fldCharType="end"/>
      </w:r>
      <w:r>
        <w:rPr/>
        <w:t>) or Distributor's failure to meet a Sales Target (Section </w:t>
      </w:r>
      <w:r>
        <w:rPr/>
        <w:fldChar w:fldCharType="begin"/>
      </w:r>
      <w:r>
        <w:rPr/>
        <w:instrText xml:space="preserve"> REF _Ref98948350 \r \h </w:instrText>
      </w:r>
      <w:r>
        <w:rPr/>
        <w:fldChar w:fldCharType="separate"/>
      </w:r>
      <w:r>
        <w:rPr/>
        <w:t>4.1.1.1(c)</w:t>
      </w:r>
      <w:r>
        <w:rPr/>
        <w:fldChar w:fldCharType="end"/>
      </w:r>
      <w:r>
        <w:rPr/>
        <w:t>).</w:t>
      </w:r>
    </w:p>
    <w:p>
      <w:pPr>
        <w:pStyle w:val="IText"/>
        <w:numPr>
          <w:ilvl w:val="5"/>
          <w:numId w:val="12"/>
        </w:numPr>
        <w:rPr/>
      </w:pPr>
      <w:r>
        <w:rPr/>
        <w:t>The other Party's breach of any other obligation which is not remedied within sixty (60) calendar days after receipt of a written notice from the Party;</w:t>
      </w:r>
    </w:p>
    <w:p>
      <w:pPr>
        <w:pStyle w:val="IText"/>
        <w:numPr>
          <w:ilvl w:val="5"/>
          <w:numId w:val="12"/>
        </w:numPr>
        <w:rPr/>
      </w:pPr>
      <w:r>
        <w:rPr/>
        <w:t>The other Party becomes the subject of voluntary or involuntary bankruptcy, receivership, or insolvency proceedings; and</w:t>
      </w:r>
    </w:p>
    <w:p>
      <w:pPr>
        <w:pStyle w:val="IText"/>
        <w:numPr>
          <w:ilvl w:val="5"/>
          <w:numId w:val="12"/>
        </w:numPr>
        <w:rPr/>
      </w:pPr>
      <w:r>
        <w:rPr/>
        <w:t>A Force Majeure condition has prevented performance of the contractual obligations by the other Party for more than one hundred and eighty (180) consecutive days.</w:t>
      </w:r>
    </w:p>
    <w:p>
      <w:pPr>
        <w:pStyle w:val="1Title"/>
        <w:numPr>
          <w:ilvl w:val="0"/>
          <w:numId w:val="12"/>
        </w:numPr>
        <w:rPr/>
      </w:pPr>
      <w:bookmarkStart w:id="51" w:name="_Toc99036799"/>
      <w:r>
        <w:rPr/>
        <w:t>Effects of Termination or Expiration</w:t>
      </w:r>
      <w:bookmarkEnd w:id="51"/>
    </w:p>
    <w:p>
      <w:pPr>
        <w:pStyle w:val="11Title"/>
        <w:numPr>
          <w:ilvl w:val="1"/>
          <w:numId w:val="12"/>
        </w:numPr>
        <w:rPr/>
      </w:pPr>
      <w:bookmarkStart w:id="52" w:name="_Toc99036800"/>
      <w:r>
        <w:rPr/>
        <w:t>Surviving Terms</w:t>
      </w:r>
      <w:bookmarkEnd w:id="52"/>
    </w:p>
    <w:p>
      <w:pPr>
        <w:pStyle w:val="Text1"/>
        <w:rPr/>
      </w:pPr>
      <w:r>
        <w:rPr/>
        <w:t xml:space="preserve">The rights of each Party against the other, which may have accrued up to the date of such termination or expiration, and the provisions of this Agreement that are by their nature continuing (including, without limitation, Section </w:t>
      </w:r>
      <w:r>
        <w:rPr/>
        <w:fldChar w:fldCharType="begin"/>
      </w:r>
      <w:r>
        <w:rPr/>
        <w:instrText xml:space="preserve"> REF _Ref71552602 \r \h </w:instrText>
      </w:r>
      <w:r>
        <w:rPr/>
        <w:fldChar w:fldCharType="separate"/>
      </w:r>
      <w:r>
        <w:rPr/>
        <w:t>3.2</w:t>
      </w:r>
      <w:r>
        <w:rPr/>
        <w:fldChar w:fldCharType="end"/>
      </w:r>
      <w:r>
        <w:rPr/>
        <w:t xml:space="preserve"> (</w:t>
      </w:r>
      <w:r>
        <w:rPr>
          <w:i/>
        </w:rPr>
        <w:t>Liability</w:t>
      </w:r>
      <w:r>
        <w:rPr/>
        <w:t xml:space="preserve">) and Section </w:t>
      </w:r>
      <w:r>
        <w:rPr/>
        <w:fldChar w:fldCharType="begin"/>
      </w:r>
      <w:r>
        <w:rPr/>
        <w:instrText xml:space="preserve"> REF _Ref71552590 \r \h </w:instrText>
      </w:r>
      <w:r>
        <w:rPr/>
        <w:fldChar w:fldCharType="separate"/>
      </w:r>
      <w:r>
        <w:rPr/>
        <w:t>7</w:t>
      </w:r>
      <w:r>
        <w:rPr/>
        <w:fldChar w:fldCharType="end"/>
      </w:r>
      <w:r>
        <w:rPr/>
        <w:t xml:space="preserve"> (</w:t>
      </w:r>
      <w:r>
        <w:rPr>
          <w:i/>
        </w:rPr>
        <w:t>Confidentiality</w:t>
      </w:r>
      <w:r>
        <w:rPr/>
        <w:t>)), shall remain in force and effect after any termination or expiration of this Agreement.</w:t>
      </w:r>
    </w:p>
    <w:p>
      <w:pPr>
        <w:pStyle w:val="11Title"/>
        <w:numPr>
          <w:ilvl w:val="1"/>
          <w:numId w:val="12"/>
        </w:numPr>
        <w:rPr/>
      </w:pPr>
      <w:bookmarkStart w:id="53" w:name="_Toc99036801"/>
      <w:r>
        <w:rPr/>
        <w:t>Inventory</w:t>
      </w:r>
      <w:bookmarkEnd w:id="53"/>
    </w:p>
    <w:p>
      <w:pPr>
        <w:pStyle w:val="AText"/>
        <w:numPr>
          <w:ilvl w:val="4"/>
          <w:numId w:val="12"/>
        </w:numPr>
        <w:rPr/>
      </w:pPr>
      <w:r>
        <w:rPr/>
        <w:t>Upon termination or expiration of this Agreement, Distributor shall provide Anandic with a list of the Products (including their remaining shelf life) it has on stock (the "</w:t>
      </w:r>
      <w:r>
        <w:rPr>
          <w:b/>
        </w:rPr>
        <w:t>Remaining Inventory</w:t>
      </w:r>
      <w:r>
        <w:rPr/>
        <w:t>").</w:t>
      </w:r>
    </w:p>
    <w:p>
      <w:pPr>
        <w:pStyle w:val="AText"/>
        <w:numPr>
          <w:ilvl w:val="4"/>
          <w:numId w:val="12"/>
        </w:numPr>
        <w:rPr/>
      </w:pPr>
      <w:r>
        <w:rPr/>
        <w:t xml:space="preserve">Upon Anandic's sole discretion, it may take back all or part of the Remaining Inventory at the respective purchase prices less a depreciation, provided that the Products are unused, undamaged and in their original packaging and have been stored properly. The return of the Products shall be at the expense and risk of Distributor. </w:t>
      </w:r>
    </w:p>
    <w:p>
      <w:pPr>
        <w:pStyle w:val="AText"/>
        <w:numPr>
          <w:ilvl w:val="4"/>
          <w:numId w:val="12"/>
        </w:numPr>
        <w:rPr/>
      </w:pPr>
      <w:r>
        <w:rPr/>
        <w:t>Distributor is entitled to sell any Remaining Inventory of Products that Anandic is not willing to take back.</w:t>
      </w:r>
    </w:p>
    <w:p>
      <w:pPr>
        <w:pStyle w:val="11Title"/>
        <w:numPr>
          <w:ilvl w:val="1"/>
          <w:numId w:val="12"/>
        </w:numPr>
        <w:rPr/>
      </w:pPr>
      <w:bookmarkStart w:id="54" w:name="_Ref71557555"/>
      <w:bookmarkStart w:id="55" w:name="_Toc99036802"/>
      <w:r>
        <w:rPr/>
        <w:t>Customer Information</w:t>
      </w:r>
      <w:bookmarkEnd w:id="54"/>
      <w:bookmarkEnd w:id="55"/>
    </w:p>
    <w:p>
      <w:pPr>
        <w:pStyle w:val="Text1"/>
        <w:rPr/>
      </w:pPr>
      <w:r>
        <w:rPr/>
        <w:t xml:space="preserve">For regulatory reasons, Distributor shall provide Anandic the names and addresses of Distributor's (and its agents' and sub-distributors') active or inactive customers that purchased Products during the term of the Agreement. </w:t>
      </w:r>
    </w:p>
    <w:p>
      <w:pPr>
        <w:pStyle w:val="11Title"/>
        <w:numPr>
          <w:ilvl w:val="1"/>
          <w:numId w:val="12"/>
        </w:numPr>
        <w:rPr/>
      </w:pPr>
      <w:bookmarkStart w:id="56" w:name="_Toc99036803"/>
      <w:bookmarkStart w:id="57" w:name="_Ref71701683"/>
      <w:r>
        <w:rPr/>
        <w:t>No Compensation</w:t>
      </w:r>
      <w:bookmarkEnd w:id="57"/>
      <w:r>
        <w:rPr/>
        <w:t xml:space="preserve"> upon Termination or Expiration</w:t>
      </w:r>
      <w:bookmarkEnd w:id="56"/>
    </w:p>
    <w:p>
      <w:pPr>
        <w:pStyle w:val="Text1"/>
        <w:rPr/>
      </w:pPr>
      <w:r>
        <w:rPr/>
        <w:t xml:space="preserve">Distributor acknowledges that it is granted favorable pricing terms under this Agreement allowing for a considerable margin, which also compensates Distributor for its marketing efforts in the Territory. Accordingly, Distributor acknowledges that it shall, to the fullest extent possible under applicable laws, not be entitled to any form of compensation for goodwill, clientele, sunk investment or any other compensation upon termination or expiration of this Agreement. </w:t>
      </w:r>
    </w:p>
    <w:p>
      <w:pPr>
        <w:pStyle w:val="1Title"/>
        <w:numPr>
          <w:ilvl w:val="0"/>
          <w:numId w:val="12"/>
        </w:numPr>
        <w:rPr/>
      </w:pPr>
      <w:bookmarkStart w:id="58" w:name="_Toc99036804"/>
      <w:r>
        <w:rPr/>
        <w:t>Relationship of the Parties</w:t>
      </w:r>
      <w:bookmarkEnd w:id="58"/>
    </w:p>
    <w:p>
      <w:pPr>
        <w:pStyle w:val="Text1"/>
        <w:rPr/>
      </w:pPr>
      <w:r>
        <w:rPr/>
        <w:t>The Parties act as independent contractors and not as agents of the other Party. This Agreement does not create a simple partnership or joint venture between the Parties and neither Party has power to act on behalf of or bind the other Party in any manner, unless explicitly authorized in writing.</w:t>
      </w:r>
    </w:p>
    <w:p>
      <w:pPr>
        <w:pStyle w:val="1Title"/>
        <w:numPr>
          <w:ilvl w:val="0"/>
          <w:numId w:val="12"/>
        </w:numPr>
        <w:rPr/>
      </w:pPr>
      <w:bookmarkStart w:id="59" w:name="_Toc336608382"/>
      <w:bookmarkStart w:id="60" w:name="_Toc410052553"/>
      <w:bookmarkStart w:id="61" w:name="_Toc410378787"/>
      <w:bookmarkStart w:id="62" w:name="_Toc99036805"/>
      <w:bookmarkStart w:id="63" w:name="_Toc4103787841"/>
      <w:bookmarkStart w:id="64" w:name="_Toc3366099721"/>
      <w:bookmarkEnd w:id="63"/>
      <w:bookmarkEnd w:id="64"/>
      <w:r>
        <w:rPr/>
        <w:t>Miscellaneous</w:t>
      </w:r>
      <w:bookmarkEnd w:id="59"/>
      <w:bookmarkEnd w:id="60"/>
      <w:bookmarkEnd w:id="61"/>
      <w:bookmarkEnd w:id="62"/>
    </w:p>
    <w:p>
      <w:pPr>
        <w:pStyle w:val="11Title"/>
        <w:numPr>
          <w:ilvl w:val="1"/>
          <w:numId w:val="12"/>
        </w:numPr>
        <w:rPr/>
      </w:pPr>
      <w:bookmarkStart w:id="65" w:name="_Toc336608383"/>
      <w:bookmarkStart w:id="66" w:name="_Toc410052554"/>
      <w:bookmarkStart w:id="67" w:name="_Toc410378788"/>
      <w:bookmarkStart w:id="68" w:name="_Toc99036806"/>
      <w:r>
        <w:rPr/>
        <w:t>Entire Agreement</w:t>
      </w:r>
      <w:bookmarkEnd w:id="65"/>
      <w:bookmarkEnd w:id="66"/>
      <w:bookmarkEnd w:id="67"/>
      <w:bookmarkEnd w:id="68"/>
    </w:p>
    <w:p>
      <w:pPr>
        <w:pStyle w:val="Text1"/>
        <w:rPr/>
      </w:pPr>
      <w:r>
        <w:rPr/>
        <w:t>This Agreement and the Schedules hereto constitute and express the entire agreement between the Parties pertaining to the subject matter contained herein and supersedes all prior and contemporaneous oral or written agreements, representations, understandings and the like between the Parties.</w:t>
      </w:r>
    </w:p>
    <w:p>
      <w:pPr>
        <w:pStyle w:val="11Title"/>
        <w:numPr>
          <w:ilvl w:val="1"/>
          <w:numId w:val="12"/>
        </w:numPr>
        <w:rPr/>
      </w:pPr>
      <w:bookmarkStart w:id="69" w:name="_Toc336608384"/>
      <w:bookmarkStart w:id="70" w:name="_Toc410052555"/>
      <w:bookmarkStart w:id="71" w:name="_Toc410378789"/>
      <w:bookmarkStart w:id="72" w:name="_Toc99036807"/>
      <w:r>
        <w:rPr/>
        <w:t>Amendments and Modifications</w:t>
      </w:r>
      <w:bookmarkEnd w:id="69"/>
      <w:bookmarkEnd w:id="70"/>
      <w:bookmarkEnd w:id="71"/>
      <w:bookmarkEnd w:id="72"/>
    </w:p>
    <w:p>
      <w:pPr>
        <w:pStyle w:val="Text1"/>
        <w:rPr/>
      </w:pPr>
      <w:r>
        <w:rPr/>
        <w:t>This Agreement may not be modified, amended, altered or supplemented, in whole or in part, except by a written agreement signed by the Parties.</w:t>
      </w:r>
    </w:p>
    <w:p>
      <w:pPr>
        <w:pStyle w:val="11Title"/>
        <w:numPr>
          <w:ilvl w:val="1"/>
          <w:numId w:val="12"/>
        </w:numPr>
        <w:rPr/>
      </w:pPr>
      <w:bookmarkStart w:id="73" w:name="_Toc336608386"/>
      <w:bookmarkStart w:id="74" w:name="_Toc410052557"/>
      <w:bookmarkStart w:id="75" w:name="_Toc410378791"/>
      <w:bookmarkStart w:id="76" w:name="_Toc99036808"/>
      <w:r>
        <w:rPr/>
        <w:t>Severability</w:t>
      </w:r>
      <w:bookmarkEnd w:id="73"/>
      <w:bookmarkEnd w:id="74"/>
      <w:bookmarkEnd w:id="75"/>
      <w:bookmarkEnd w:id="76"/>
    </w:p>
    <w:p>
      <w:pPr>
        <w:pStyle w:val="Text1"/>
        <w:rPr/>
      </w:pPr>
      <w:r>
        <w:rPr/>
        <w:t>If any provision of this Agreement is found by any competent authority to be void, invalid or unenforceable, such provision shall be deemed to be deleted from this Agreement and the remaining provisions of this Agreement shall continue in full force. In this event, the Agreement shall be construed, and, if necessary, amended in a way to give effect to, or to approximate, or to achieve a result which is as close as legally possible to the result intended by the provision hereof determined to be void, illegal or unenforceable.</w:t>
      </w:r>
    </w:p>
    <w:p>
      <w:pPr>
        <w:pStyle w:val="11Title"/>
        <w:numPr>
          <w:ilvl w:val="1"/>
          <w:numId w:val="12"/>
        </w:numPr>
        <w:rPr/>
      </w:pPr>
      <w:bookmarkStart w:id="77" w:name="_Toc336596563"/>
      <w:bookmarkStart w:id="78" w:name="_Toc410052559"/>
      <w:bookmarkStart w:id="79" w:name="_Toc410378793"/>
      <w:bookmarkStart w:id="80" w:name="_Toc99036809"/>
      <w:r>
        <w:rPr/>
        <w:t>Assignment</w:t>
      </w:r>
      <w:bookmarkEnd w:id="77"/>
      <w:bookmarkEnd w:id="78"/>
      <w:bookmarkEnd w:id="79"/>
      <w:bookmarkEnd w:id="80"/>
    </w:p>
    <w:p>
      <w:pPr>
        <w:pStyle w:val="Text1"/>
        <w:rPr/>
      </w:pPr>
      <w:r>
        <w:rPr/>
        <w:t>The rights of the Parties under this Agreement are not assignable and shall not be transferred without the prior written consent of the other Party.</w:t>
      </w:r>
    </w:p>
    <w:p>
      <w:pPr>
        <w:pStyle w:val="1Title"/>
        <w:numPr>
          <w:ilvl w:val="0"/>
          <w:numId w:val="12"/>
        </w:numPr>
        <w:rPr/>
      </w:pPr>
      <w:bookmarkStart w:id="81" w:name="_Toc336608388"/>
      <w:bookmarkStart w:id="82" w:name="_Toc410052560"/>
      <w:bookmarkStart w:id="83" w:name="_Toc410378794"/>
      <w:bookmarkStart w:id="84" w:name="_Toc99036810"/>
      <w:r>
        <w:rPr/>
        <w:t>Governing Law and Jurisdiction</w:t>
      </w:r>
      <w:bookmarkEnd w:id="81"/>
      <w:bookmarkEnd w:id="82"/>
      <w:bookmarkEnd w:id="83"/>
      <w:bookmarkEnd w:id="84"/>
    </w:p>
    <w:p>
      <w:pPr>
        <w:pStyle w:val="11Title"/>
        <w:numPr>
          <w:ilvl w:val="1"/>
          <w:numId w:val="12"/>
        </w:numPr>
        <w:rPr/>
      </w:pPr>
      <w:bookmarkStart w:id="85" w:name="_Toc336608389"/>
      <w:bookmarkStart w:id="86" w:name="_Toc410052561"/>
      <w:bookmarkStart w:id="87" w:name="_Toc410378795"/>
      <w:bookmarkStart w:id="88" w:name="_Toc99036811"/>
      <w:r>
        <w:rPr/>
        <w:t>Choice of Law</w:t>
      </w:r>
      <w:bookmarkEnd w:id="85"/>
      <w:bookmarkEnd w:id="86"/>
      <w:bookmarkEnd w:id="87"/>
      <w:bookmarkEnd w:id="88"/>
    </w:p>
    <w:p>
      <w:pPr>
        <w:pStyle w:val="Text1"/>
        <w:rPr/>
      </w:pPr>
      <w:r>
        <w:rPr/>
        <w:t>This Agreement, including the jurisdiction clause shall be governed by, interpreted and construed in accordance with the substantive laws of Switzerland, excluding the United Nations Convention on Contracts for the International Sales of Goods of 11 April 1980 (CISG).</w:t>
      </w:r>
    </w:p>
    <w:p>
      <w:pPr>
        <w:pStyle w:val="11Title"/>
        <w:numPr>
          <w:ilvl w:val="1"/>
          <w:numId w:val="12"/>
        </w:numPr>
        <w:rPr/>
      </w:pPr>
      <w:bookmarkStart w:id="89" w:name="_Toc99036812"/>
      <w:r>
        <w:rPr/>
        <w:t>Arbitration</w:t>
      </w:r>
      <w:bookmarkEnd w:id="89"/>
    </w:p>
    <w:p>
      <w:pPr>
        <w:pStyle w:val="Text1"/>
        <w:keepNext w:val="true"/>
        <w:rPr/>
      </w:pPr>
      <w:r>
        <w:rPr/>
        <w:t>The competent courts of Zurich 1, Switzerland, shall have exclusive jurisdiction for all disputes arising out of or in connection with this Agreement.</w:t>
      </w:r>
    </w:p>
    <w:p>
      <w:pPr>
        <w:pStyle w:val="Text1"/>
        <w:keepNext w:val="true"/>
        <w:rPr/>
      </w:pPr>
      <w:r>
        <w:rPr/>
      </w:r>
    </w:p>
    <w:p>
      <w:pPr>
        <w:pStyle w:val="Normal"/>
        <w:spacing w:lineRule="auto" w:line="276"/>
        <w:rPr>
          <w:rFonts w:eastAsia="Times New Roman"/>
          <w:lang w:val="en-US"/>
        </w:rPr>
      </w:pPr>
      <w:r>
        <w:rPr>
          <w:rFonts w:eastAsia="Times New Roman"/>
          <w:lang w:val="en-US"/>
        </w:rPr>
      </w:r>
      <w:r>
        <w:br w:type="page"/>
      </w:r>
    </w:p>
    <w:p>
      <w:pPr>
        <w:pStyle w:val="Text"/>
        <w:rPr/>
      </w:pPr>
      <w:r>
        <w:rPr/>
      </w:r>
    </w:p>
    <w:tbl>
      <w:tblPr>
        <w:tblStyle w:val="TableGrid"/>
        <w:tblW w:w="9354" w:type="dxa"/>
        <w:jc w:val="left"/>
        <w:tblInd w:w="0" w:type="dxa"/>
        <w:tblLayout w:type="fixed"/>
        <w:tblCellMar>
          <w:top w:w="255" w:type="dxa"/>
          <w:left w:w="108" w:type="dxa"/>
          <w:bottom w:w="0" w:type="dxa"/>
          <w:right w:w="108" w:type="dxa"/>
        </w:tblCellMar>
        <w:tblLook w:firstRow="1" w:noVBand="1" w:lastRow="0" w:firstColumn="1" w:lastColumn="0" w:noHBand="0" w:val="04a0"/>
      </w:tblPr>
      <w:tblGrid>
        <w:gridCol w:w="4157"/>
        <w:gridCol w:w="886"/>
        <w:gridCol w:w="4311"/>
      </w:tblGrid>
      <w:tr>
        <w:trPr>
          <w:trHeight w:val="765" w:hRule="atLeast"/>
          <w:cantSplit w:val="true"/>
        </w:trPr>
        <w:tc>
          <w:tcPr>
            <w:tcW w:w="4157" w:type="dxa"/>
            <w:tcBorders>
              <w:top w:val="nil"/>
              <w:left w:val="nil"/>
              <w:right w:val="nil"/>
            </w:tcBorders>
            <w:vAlign w:val="bottom"/>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886" w:type="dxa"/>
            <w:tcBorders>
              <w:top w:val="nil"/>
              <w:left w:val="nil"/>
              <w:bottom w:val="nil"/>
              <w:right w:val="nil"/>
            </w:tcBorders>
            <w:vAlign w:val="bottom"/>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1" w:type="dxa"/>
            <w:tcBorders>
              <w:top w:val="nil"/>
              <w:left w:val="nil"/>
              <w:right w:val="nil"/>
            </w:tcBorders>
            <w:vAlign w:val="bottom"/>
          </w:tcPr>
          <w:p>
            <w:pPr>
              <w:pStyle w:val="Normalwithoutspacing"/>
              <w:keepNext w:val="true"/>
              <w:widowControl w:val="false"/>
              <w:jc w:val="both"/>
              <w:rPr>
                <w:highlight w:val="yellow"/>
              </w:rPr>
            </w:pPr>
            <w:r>
              <w:rPr>
                <w:highlight w:val="yellow"/>
              </w:rPr>
            </w:r>
          </w:p>
        </w:tc>
      </w:tr>
      <w:tr>
        <w:trPr>
          <w:cantSplit w:val="true"/>
        </w:trPr>
        <w:tc>
          <w:tcPr>
            <w:tcW w:w="4157" w:type="dxa"/>
            <w:tcBorders>
              <w:left w:val="nil"/>
              <w:bottom w:val="nil"/>
              <w:right w:val="nil"/>
            </w:tcBorders>
            <w:tcMar>
              <w:top w:w="0" w:type="dxa"/>
            </w:tcMar>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t>Place, Date</w:t>
            </w:r>
          </w:p>
        </w:tc>
        <w:tc>
          <w:tcPr>
            <w:tcW w:w="886" w:type="dxa"/>
            <w:tcBorders>
              <w:top w:val="nil"/>
              <w:left w:val="nil"/>
              <w:bottom w:val="nil"/>
              <w:right w:val="nil"/>
            </w:tcBorders>
            <w:tcMar>
              <w:top w:w="0" w:type="dxa"/>
            </w:tcMar>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1" w:type="dxa"/>
            <w:tcBorders>
              <w:left w:val="nil"/>
              <w:bottom w:val="nil"/>
              <w:right w:val="nil"/>
            </w:tcBorders>
            <w:tcMar>
              <w:top w:w="0" w:type="dxa"/>
            </w:tcMar>
          </w:tcPr>
          <w:p>
            <w:pPr>
              <w:pStyle w:val="Normalwithoutspacing"/>
              <w:keepNext w:val="true"/>
              <w:widowControl w:val="false"/>
              <w:jc w:val="both"/>
              <w:rPr>
                <w:highlight w:val="yellow"/>
              </w:rPr>
            </w:pPr>
            <w:r>
              <w:rPr>
                <w:rFonts w:cs="font292"/>
                <w:kern w:val="0"/>
                <w:sz w:val="24"/>
                <w:szCs w:val="24"/>
                <w:highlight w:val="yellow"/>
                <w:lang w:eastAsia="en-US" w:bidi="ar-SA"/>
              </w:rPr>
              <w:t>Place, Date</w:t>
            </w:r>
          </w:p>
        </w:tc>
      </w:tr>
      <w:tr>
        <w:trPr>
          <w:cantSplit w:val="true"/>
        </w:trPr>
        <w:tc>
          <w:tcPr>
            <w:tcW w:w="4157" w:type="dxa"/>
            <w:tcBorders>
              <w:top w:val="nil"/>
              <w:left w:val="nil"/>
              <w:bottom w:val="nil"/>
              <w:right w:val="nil"/>
            </w:tcBorders>
            <w:tcMar>
              <w:top w:w="0" w:type="dxa"/>
            </w:tcMar>
          </w:tcPr>
          <w:p>
            <w:pPr>
              <w:pStyle w:val="RubrumBold"/>
              <w:widowControl w:val="false"/>
              <w:spacing w:before="240" w:after="0"/>
              <w:jc w:val="left"/>
              <w:rPr>
                <w:lang w:val="en-US"/>
              </w:rPr>
            </w:pPr>
            <w:r>
              <w:rPr>
                <w:rFonts w:cs="font292"/>
                <w:kern w:val="0"/>
                <w:sz w:val="24"/>
                <w:szCs w:val="24"/>
                <w:lang w:val="en-US" w:eastAsia="en-US" w:bidi="ar-SA"/>
              </w:rPr>
              <w:t>Anandic Medical Systems AG</w:t>
            </w:r>
          </w:p>
          <w:p>
            <w:pPr>
              <w:pStyle w:val="Text"/>
              <w:keepNext w:val="true"/>
              <w:widowControl w:val="false"/>
              <w:jc w:val="both"/>
              <w:rPr>
                <w:b/>
                <w:b/>
              </w:rPr>
            </w:pPr>
            <w:r>
              <w:rPr>
                <w:b/>
              </w:rPr>
            </w:r>
          </w:p>
        </w:tc>
        <w:tc>
          <w:tcPr>
            <w:tcW w:w="886" w:type="dxa"/>
            <w:tcBorders>
              <w:top w:val="nil"/>
              <w:left w:val="nil"/>
              <w:bottom w:val="nil"/>
              <w:right w:val="nil"/>
            </w:tcBorders>
            <w:tcMar>
              <w:top w:w="0" w:type="dxa"/>
            </w:tcMar>
          </w:tcPr>
          <w:p>
            <w:pPr>
              <w:pStyle w:val="Text"/>
              <w:keepNext w:val="true"/>
              <w:widowControl w:val="false"/>
              <w:spacing w:before="120" w:after="0"/>
              <w:jc w:val="both"/>
              <w:rPr>
                <w:b/>
                <w:b/>
              </w:rPr>
            </w:pPr>
            <w:r>
              <w:rPr>
                <w:b/>
              </w:rPr>
            </w:r>
          </w:p>
        </w:tc>
        <w:tc>
          <w:tcPr>
            <w:tcW w:w="4311" w:type="dxa"/>
            <w:tcBorders>
              <w:top w:val="nil"/>
              <w:left w:val="nil"/>
              <w:bottom w:val="nil"/>
              <w:right w:val="nil"/>
            </w:tcBorders>
            <w:tcMar>
              <w:top w:w="0" w:type="dxa"/>
            </w:tcMar>
          </w:tcPr>
          <w:p>
            <w:pPr>
              <w:pStyle w:val="RubrumBold"/>
              <w:widowControl w:val="false"/>
              <w:spacing w:before="240" w:after="0"/>
              <w:jc w:val="left"/>
              <w:rPr>
                <w:rFonts w:ascii="Times New Roman" w:hAnsi="Times New Roman" w:cs="font292"/>
                <w:kern w:val="0"/>
                <w:sz w:val="24"/>
                <w:szCs w:val="24"/>
                <w:lang w:val="de-CH" w:eastAsia="en-US" w:bidi="ar-SA"/>
              </w:rPr>
            </w:pPr>
            <w:r>
              <w:rPr>
                <w:rFonts w:cs="font292"/>
                <w:kern w:val="0"/>
                <w:sz w:val="24"/>
                <w:szCs w:val="24"/>
                <w:lang w:val="de-CH" w:eastAsia="en-US" w:bidi="ar-SA"/>
              </w:rPr>
              <w:t>Viamed LTD</w:t>
            </w:r>
          </w:p>
          <w:p>
            <w:pPr>
              <w:pStyle w:val="Text"/>
              <w:keepNext w:val="true"/>
              <w:widowControl w:val="false"/>
              <w:jc w:val="both"/>
              <w:rPr>
                <w:b/>
                <w:b/>
                <w:highlight w:val="yellow"/>
              </w:rPr>
            </w:pPr>
            <w:r>
              <w:rPr>
                <w:b/>
                <w:highlight w:val="yellow"/>
              </w:rPr>
            </w:r>
          </w:p>
        </w:tc>
      </w:tr>
      <w:tr>
        <w:trPr>
          <w:trHeight w:val="765" w:hRule="atLeast"/>
          <w:cantSplit w:val="true"/>
        </w:trPr>
        <w:tc>
          <w:tcPr>
            <w:tcW w:w="4157" w:type="dxa"/>
            <w:tcBorders>
              <w:top w:val="nil"/>
              <w:left w:val="nil"/>
              <w:right w:val="nil"/>
            </w:tcBorders>
            <w:vAlign w:val="bottom"/>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886" w:type="dxa"/>
            <w:tcBorders>
              <w:top w:val="nil"/>
              <w:left w:val="nil"/>
              <w:bottom w:val="nil"/>
              <w:right w:val="nil"/>
            </w:tcBorders>
            <w:vAlign w:val="bottom"/>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1" w:type="dxa"/>
            <w:tcBorders>
              <w:top w:val="nil"/>
              <w:left w:val="nil"/>
              <w:right w:val="nil"/>
            </w:tcBorders>
            <w:vAlign w:val="bottom"/>
          </w:tcPr>
          <w:p>
            <w:pPr>
              <w:pStyle w:val="Normalwithoutspacing"/>
              <w:keepNext w:val="true"/>
              <w:widowControl w:val="false"/>
              <w:jc w:val="both"/>
              <w:rPr>
                <w:highlight w:val="yellow"/>
              </w:rPr>
            </w:pPr>
            <w:r>
              <w:rPr>
                <w:highlight w:val="yellow"/>
              </w:rPr>
            </w:r>
          </w:p>
        </w:tc>
      </w:tr>
      <w:tr>
        <w:trPr>
          <w:trHeight w:val="188" w:hRule="atLeast"/>
          <w:cantSplit w:val="true"/>
        </w:trPr>
        <w:tc>
          <w:tcPr>
            <w:tcW w:w="4157" w:type="dxa"/>
            <w:tcBorders>
              <w:left w:val="nil"/>
              <w:bottom w:val="nil"/>
              <w:right w:val="nil"/>
            </w:tcBorders>
            <w:tcMar>
              <w:top w:w="0" w:type="dxa"/>
            </w:tcMar>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t>Mr Arash Tehrani CEO</w:t>
            </w:r>
          </w:p>
        </w:tc>
        <w:tc>
          <w:tcPr>
            <w:tcW w:w="886" w:type="dxa"/>
            <w:tcBorders>
              <w:top w:val="nil"/>
              <w:left w:val="nil"/>
              <w:bottom w:val="nil"/>
              <w:right w:val="nil"/>
            </w:tcBorders>
            <w:tcMar>
              <w:top w:w="0" w:type="dxa"/>
            </w:tcMar>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1" w:type="dxa"/>
            <w:tcBorders>
              <w:left w:val="nil"/>
              <w:bottom w:val="nil"/>
              <w:right w:val="nil"/>
            </w:tcBorders>
            <w:tcMar>
              <w:top w:w="0" w:type="dxa"/>
            </w:tcMar>
          </w:tcPr>
          <w:p>
            <w:pPr>
              <w:pStyle w:val="Normalwithoutspacing"/>
              <w:keepNext w:val="true"/>
              <w:widowControl w:val="false"/>
              <w:jc w:val="both"/>
              <w:rPr>
                <w:highlight w:val="yellow"/>
              </w:rPr>
            </w:pPr>
            <w:r>
              <w:rPr>
                <w:rFonts w:cs="font292"/>
                <w:kern w:val="0"/>
                <w:sz w:val="24"/>
                <w:szCs w:val="24"/>
                <w:highlight w:val="yellow"/>
                <w:lang w:eastAsia="en-US" w:bidi="ar-SA"/>
              </w:rPr>
              <w:t>Mr Stephen Nixon, Commercial Director</w:t>
            </w:r>
          </w:p>
        </w:tc>
      </w:tr>
      <w:tr>
        <w:trPr>
          <w:trHeight w:val="765" w:hRule="atLeast"/>
          <w:cantSplit w:val="true"/>
        </w:trPr>
        <w:tc>
          <w:tcPr>
            <w:tcW w:w="4157" w:type="dxa"/>
            <w:tcBorders>
              <w:top w:val="nil"/>
              <w:left w:val="nil"/>
              <w:right w:val="nil"/>
            </w:tcBorders>
            <w:vAlign w:val="bottom"/>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886" w:type="dxa"/>
            <w:tcBorders>
              <w:top w:val="nil"/>
              <w:left w:val="nil"/>
              <w:bottom w:val="nil"/>
              <w:right w:val="nil"/>
            </w:tcBorders>
            <w:vAlign w:val="bottom"/>
          </w:tcPr>
          <w:p>
            <w:pPr>
              <w:pStyle w:val="Normalwithoutspacing"/>
              <w:keepNext w:val="true"/>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1" w:type="dxa"/>
            <w:tcBorders>
              <w:top w:val="nil"/>
              <w:left w:val="nil"/>
              <w:right w:val="nil"/>
            </w:tcBorders>
            <w:vAlign w:val="bottom"/>
          </w:tcPr>
          <w:p>
            <w:pPr>
              <w:pStyle w:val="Normalwithoutspacing"/>
              <w:keepNext w:val="true"/>
              <w:widowControl w:val="false"/>
              <w:jc w:val="both"/>
              <w:rPr>
                <w:highlight w:val="yellow"/>
              </w:rPr>
            </w:pPr>
            <w:r>
              <w:rPr>
                <w:highlight w:val="yellow"/>
              </w:rPr>
            </w:r>
          </w:p>
        </w:tc>
      </w:tr>
      <w:tr>
        <w:trPr>
          <w:cantSplit w:val="true"/>
        </w:trPr>
        <w:tc>
          <w:tcPr>
            <w:tcW w:w="4157" w:type="dxa"/>
            <w:tcBorders>
              <w:left w:val="nil"/>
              <w:bottom w:val="nil"/>
              <w:right w:val="nil"/>
            </w:tcBorders>
            <w:tcMar>
              <w:top w:w="0" w:type="dxa"/>
            </w:tcMar>
          </w:tcPr>
          <w:p>
            <w:pPr>
              <w:pStyle w:val="Normalwithoutspacing"/>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t>[Name, job title]</w:t>
            </w:r>
          </w:p>
        </w:tc>
        <w:tc>
          <w:tcPr>
            <w:tcW w:w="886" w:type="dxa"/>
            <w:tcBorders>
              <w:top w:val="nil"/>
              <w:left w:val="nil"/>
              <w:bottom w:val="nil"/>
              <w:right w:val="nil"/>
            </w:tcBorders>
            <w:tcMar>
              <w:top w:w="0" w:type="dxa"/>
            </w:tcMar>
          </w:tcPr>
          <w:p>
            <w:pPr>
              <w:pStyle w:val="Normalwithoutspacing"/>
              <w:widowControl w:val="false"/>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1" w:type="dxa"/>
            <w:tcBorders>
              <w:left w:val="nil"/>
              <w:bottom w:val="nil"/>
              <w:right w:val="nil"/>
            </w:tcBorders>
            <w:tcMar>
              <w:top w:w="0" w:type="dxa"/>
            </w:tcMar>
          </w:tcPr>
          <w:p>
            <w:pPr>
              <w:pStyle w:val="Normalwithoutspacing"/>
              <w:keepNext w:val="true"/>
              <w:widowControl w:val="false"/>
              <w:jc w:val="both"/>
              <w:rPr>
                <w:highlight w:val="yellow"/>
              </w:rPr>
            </w:pPr>
            <w:r>
              <w:rPr>
                <w:rFonts w:cs="font292"/>
                <w:kern w:val="0"/>
                <w:sz w:val="24"/>
                <w:szCs w:val="24"/>
                <w:highlight w:val="yellow"/>
                <w:lang w:eastAsia="en-US" w:bidi="ar-SA"/>
              </w:rPr>
              <w:t>[Name, job title]</w:t>
            </w:r>
          </w:p>
        </w:tc>
      </w:tr>
    </w:tbl>
    <w:p>
      <w:pPr>
        <w:sectPr>
          <w:headerReference w:type="default" r:id="rId2"/>
          <w:headerReference w:type="first" r:id="rId3"/>
          <w:footerReference w:type="default" r:id="rId4"/>
          <w:footerReference w:type="first" r:id="rId5"/>
          <w:type w:val="nextPage"/>
          <w:pgSz w:w="11906" w:h="16838"/>
          <w:pgMar w:left="1418" w:right="1134" w:gutter="0" w:header="578" w:top="2268" w:footer="363" w:bottom="1701"/>
          <w:pgNumType w:start="1" w:fmt="decimal"/>
          <w:formProt w:val="false"/>
          <w:titlePg/>
          <w:textDirection w:val="lrTb"/>
          <w:docGrid w:type="default" w:linePitch="360" w:charSpace="0"/>
        </w:sectPr>
      </w:pPr>
    </w:p>
    <w:p>
      <w:pPr>
        <w:pStyle w:val="Titleschedule"/>
        <w:rPr/>
      </w:pPr>
      <w:bookmarkStart w:id="90" w:name="_Toc71560003"/>
      <w:bookmarkStart w:id="91" w:name="_Toc71560058"/>
      <w:bookmarkStart w:id="92" w:name="_Toc71560159"/>
      <w:bookmarkStart w:id="93" w:name="_Toc71560171"/>
      <w:bookmarkStart w:id="94" w:name="_Toc71560222"/>
      <w:bookmarkStart w:id="95" w:name="_Toc71560638"/>
      <w:bookmarkStart w:id="96" w:name="_Toc71560709"/>
      <w:bookmarkStart w:id="97" w:name="_Toc71560722"/>
      <w:bookmarkStart w:id="98" w:name="_Toc71560748"/>
      <w:bookmarkStart w:id="99" w:name="_Toc71560769"/>
      <w:bookmarkStart w:id="100" w:name="_Toc71560807"/>
      <w:bookmarkStart w:id="101" w:name="_Toc71560862"/>
      <w:bookmarkStart w:id="102" w:name="_Toc71560879"/>
      <w:bookmarkStart w:id="103" w:name="_Toc71560887"/>
      <w:bookmarkStart w:id="104" w:name="_Toc71560899"/>
      <w:bookmarkStart w:id="105" w:name="_Toc71560920"/>
      <w:bookmarkStart w:id="106" w:name="_Toc71560965"/>
      <w:bookmarkStart w:id="107" w:name="_Toc71560974"/>
      <w:bookmarkStart w:id="108" w:name="_Toc71561061"/>
      <w:bookmarkStart w:id="109" w:name="_Toc71561100"/>
      <w:bookmarkStart w:id="110" w:name="_Toc71561104"/>
      <w:bookmarkStart w:id="111" w:name="_Toc71561169"/>
      <w:bookmarkStart w:id="112" w:name="_Toc71561180"/>
      <w:bookmarkStart w:id="113" w:name="_Toc71561186"/>
      <w:bookmarkStart w:id="114" w:name="_Toc71561246"/>
      <w:bookmarkStart w:id="115" w:name="_Toc71561277"/>
      <w:bookmarkStart w:id="116" w:name="_Toc71561306"/>
      <w:bookmarkStart w:id="117" w:name="_Toc71563984"/>
      <w:bookmarkStart w:id="118" w:name="_Toc71563996"/>
      <w:bookmarkStart w:id="119" w:name="_Toc71564046"/>
      <w:bookmarkStart w:id="120" w:name="_Toc71564166"/>
      <w:bookmarkStart w:id="121" w:name="_Toc71564615"/>
      <w:bookmarkStart w:id="122" w:name="_Toc71564706"/>
      <w:bookmarkStart w:id="123" w:name="_Toc71565856"/>
      <w:bookmarkStart w:id="124" w:name="_Toc71566955"/>
      <w:bookmarkStart w:id="125" w:name="_Toc71567051"/>
      <w:bookmarkStart w:id="126" w:name="_Toc71567076"/>
      <w:bookmarkStart w:id="127" w:name="_Toc71567103"/>
      <w:bookmarkStart w:id="128" w:name="_Toc71567163"/>
      <w:bookmarkStart w:id="129" w:name="_Toc71567219"/>
      <w:bookmarkStart w:id="130" w:name="_Toc71567360"/>
      <w:bookmarkStart w:id="131" w:name="_Toc71567552"/>
      <w:bookmarkStart w:id="132" w:name="_Toc71567616"/>
      <w:bookmarkStart w:id="133" w:name="_Toc71567750"/>
      <w:bookmarkStart w:id="134" w:name="_Toc71567941"/>
      <w:bookmarkStart w:id="135" w:name="_Toc71567948"/>
      <w:bookmarkStart w:id="136" w:name="_Toc71567981"/>
      <w:bookmarkStart w:id="137" w:name="_Toc71568016"/>
      <w:bookmarkStart w:id="138" w:name="_Toc71568043"/>
      <w:bookmarkStart w:id="139" w:name="_Toc71568073"/>
      <w:bookmarkStart w:id="140" w:name="_Toc71568098"/>
      <w:bookmarkStart w:id="141" w:name="_Toc71568103"/>
      <w:bookmarkStart w:id="142" w:name="_Toc71568156"/>
      <w:bookmarkStart w:id="143" w:name="_Toc71568263"/>
      <w:bookmarkStart w:id="144" w:name="_Toc71568272"/>
      <w:bookmarkStart w:id="145" w:name="_Toc71568343"/>
      <w:bookmarkStart w:id="146" w:name="_Toc71568371"/>
      <w:bookmarkStart w:id="147" w:name="_Toc71568407"/>
      <w:bookmarkStart w:id="148" w:name="_Toc71568423"/>
      <w:bookmarkStart w:id="149" w:name="_Toc71568436"/>
      <w:bookmarkStart w:id="150" w:name="_Toc71568469"/>
      <w:bookmarkStart w:id="151" w:name="_Toc71568481"/>
      <w:bookmarkStart w:id="152" w:name="_Toc71568784"/>
      <w:bookmarkStart w:id="153" w:name="_Toc71568890"/>
      <w:bookmarkStart w:id="154" w:name="_Toc71568923"/>
      <w:bookmarkStart w:id="155" w:name="_Toc71568980"/>
      <w:bookmarkStart w:id="156" w:name="_Toc71569236"/>
      <w:bookmarkStart w:id="157" w:name="_Toc71569454"/>
      <w:bookmarkStart w:id="158" w:name="_Toc71569579"/>
      <w:bookmarkStart w:id="159" w:name="_Toc71569585"/>
      <w:bookmarkStart w:id="160" w:name="_Toc71569650"/>
      <w:bookmarkStart w:id="161" w:name="_Toc71569655"/>
      <w:bookmarkStart w:id="162" w:name="_Toc71569663"/>
      <w:bookmarkStart w:id="163" w:name="_Toc71569673"/>
      <w:bookmarkStart w:id="164" w:name="_Toc71569720"/>
      <w:bookmarkStart w:id="165" w:name="_Toc71569764"/>
      <w:bookmarkStart w:id="166" w:name="_Toc71569769"/>
      <w:bookmarkStart w:id="167" w:name="_Toc71569774"/>
      <w:bookmarkStart w:id="168" w:name="_Toc71569790"/>
      <w:bookmarkStart w:id="169" w:name="_Toc71570066"/>
      <w:bookmarkStart w:id="170" w:name="_Toc71570107"/>
      <w:bookmarkStart w:id="171" w:name="_Toc71570258"/>
      <w:bookmarkStart w:id="172" w:name="_Toc71570402"/>
      <w:bookmarkStart w:id="173" w:name="_Toc71570412"/>
      <w:bookmarkStart w:id="174" w:name="_Toc71700331"/>
      <w:bookmarkStart w:id="175" w:name="_Toc71700562"/>
      <w:bookmarkStart w:id="176" w:name="_Toc71700608"/>
      <w:bookmarkStart w:id="177" w:name="_Toc71700713"/>
      <w:bookmarkStart w:id="178" w:name="_Toc71700759"/>
      <w:bookmarkStart w:id="179" w:name="_Toc71700986"/>
      <w:bookmarkStart w:id="180" w:name="_Toc71701598"/>
      <w:bookmarkStart w:id="181" w:name="_Toc71702191"/>
      <w:bookmarkStart w:id="182" w:name="_Toc71702209"/>
      <w:bookmarkStart w:id="183" w:name="_Toc71702215"/>
      <w:bookmarkStart w:id="184" w:name="_Toc71708531"/>
      <w:bookmarkStart w:id="185" w:name="_Toc71709484"/>
      <w:bookmarkStart w:id="186" w:name="_Toc71709535"/>
      <w:bookmarkStart w:id="187" w:name="_Toc71709540"/>
      <w:bookmarkStart w:id="188" w:name="_Toc98779249"/>
      <w:bookmarkStart w:id="189" w:name="_Toc98779287"/>
      <w:bookmarkStart w:id="190" w:name="_Toc98779354"/>
      <w:bookmarkStart w:id="191" w:name="_Toc98779447"/>
      <w:bookmarkStart w:id="192" w:name="_Toc98779517"/>
      <w:bookmarkStart w:id="193" w:name="_Toc98779592"/>
      <w:bookmarkStart w:id="194" w:name="_Toc98779652"/>
      <w:bookmarkStart w:id="195" w:name="_Toc98779729"/>
      <w:bookmarkStart w:id="196" w:name="_Toc98779789"/>
      <w:bookmarkStart w:id="197" w:name="_Toc98779850"/>
      <w:bookmarkStart w:id="198" w:name="_Toc98779964"/>
      <w:bookmarkStart w:id="199" w:name="_Toc98780069"/>
      <w:bookmarkStart w:id="200" w:name="_Toc98780149"/>
      <w:bookmarkStart w:id="201" w:name="_Toc98780203"/>
      <w:bookmarkStart w:id="202" w:name="_Toc98780299"/>
      <w:bookmarkStart w:id="203" w:name="_Toc98780392"/>
      <w:bookmarkStart w:id="204" w:name="_Toc98780479"/>
      <w:bookmarkStart w:id="205" w:name="_Toc98780560"/>
      <w:bookmarkStart w:id="206" w:name="_Toc98780589"/>
      <w:bookmarkStart w:id="207" w:name="_Toc98780620"/>
      <w:bookmarkStart w:id="208" w:name="_Toc98780684"/>
      <w:bookmarkStart w:id="209" w:name="_Toc98780754"/>
      <w:bookmarkStart w:id="210" w:name="_Toc98780821"/>
      <w:bookmarkStart w:id="211" w:name="_Toc98780922"/>
      <w:bookmarkStart w:id="212" w:name="_Toc98780933"/>
      <w:bookmarkStart w:id="213" w:name="_Toc98780942"/>
      <w:bookmarkStart w:id="214" w:name="_Toc98831113"/>
      <w:bookmarkStart w:id="215" w:name="_Toc98831180"/>
      <w:bookmarkStart w:id="216" w:name="_Toc98831300"/>
      <w:bookmarkStart w:id="217" w:name="_Toc98831555"/>
      <w:bookmarkStart w:id="218" w:name="_Toc98831572"/>
      <w:bookmarkStart w:id="219" w:name="_Toc98831651"/>
      <w:bookmarkStart w:id="220" w:name="_Toc98831674"/>
      <w:bookmarkStart w:id="221" w:name="_Toc98831803"/>
      <w:bookmarkStart w:id="222" w:name="_Toc98831820"/>
      <w:bookmarkStart w:id="223" w:name="_Toc98831842"/>
      <w:bookmarkStart w:id="224" w:name="_Toc98831848"/>
      <w:bookmarkStart w:id="225" w:name="_Toc98831854"/>
      <w:bookmarkStart w:id="226" w:name="_Toc98831860"/>
      <w:bookmarkStart w:id="227" w:name="_Toc98937967"/>
      <w:bookmarkStart w:id="228" w:name="_Toc98941481"/>
      <w:bookmarkStart w:id="229" w:name="_Toc98941866"/>
      <w:bookmarkStart w:id="230" w:name="_Toc98941927"/>
      <w:bookmarkStart w:id="231" w:name="_Toc98942022"/>
      <w:bookmarkStart w:id="232" w:name="_Toc98942173"/>
      <w:bookmarkStart w:id="233" w:name="_Toc98942244"/>
      <w:bookmarkStart w:id="234" w:name="_Toc98942305"/>
      <w:bookmarkStart w:id="235" w:name="_Toc98942365"/>
      <w:bookmarkStart w:id="236" w:name="_Toc98942439"/>
      <w:bookmarkStart w:id="237" w:name="_Toc98942499"/>
      <w:bookmarkStart w:id="238" w:name="_Toc98942568"/>
      <w:bookmarkStart w:id="239" w:name="_Toc98942642"/>
      <w:bookmarkStart w:id="240" w:name="_Toc98942715"/>
      <w:bookmarkStart w:id="241" w:name="_Toc98942836"/>
      <w:bookmarkStart w:id="242" w:name="_Toc98942911"/>
      <w:bookmarkStart w:id="243" w:name="_Toc98943031"/>
      <w:bookmarkStart w:id="244" w:name="_Toc98944541"/>
      <w:bookmarkStart w:id="245" w:name="_Toc98944621"/>
      <w:bookmarkStart w:id="246" w:name="_Toc98944711"/>
      <w:bookmarkStart w:id="247" w:name="_Toc98944774"/>
      <w:bookmarkStart w:id="248" w:name="_Toc98944829"/>
      <w:bookmarkStart w:id="249" w:name="_Toc98944882"/>
      <w:bookmarkStart w:id="250" w:name="_Toc98944942"/>
      <w:bookmarkStart w:id="251" w:name="_Toc98945009"/>
      <w:bookmarkStart w:id="252" w:name="_Toc98945079"/>
      <w:bookmarkStart w:id="253" w:name="_Toc98945402"/>
      <w:bookmarkStart w:id="254" w:name="_Toc98945489"/>
      <w:bookmarkStart w:id="255" w:name="_Toc98945567"/>
      <w:bookmarkStart w:id="256" w:name="_Toc98945627"/>
      <w:bookmarkStart w:id="257" w:name="_Toc98945723"/>
      <w:bookmarkStart w:id="258" w:name="_Toc98945783"/>
      <w:bookmarkStart w:id="259" w:name="_Toc98945851"/>
      <w:bookmarkStart w:id="260" w:name="_Toc98945941"/>
      <w:bookmarkStart w:id="261" w:name="_Toc98946001"/>
      <w:bookmarkStart w:id="262" w:name="_Toc98946038"/>
      <w:bookmarkStart w:id="263" w:name="_Toc98946600"/>
      <w:bookmarkStart w:id="264" w:name="_Toc98946663"/>
      <w:bookmarkStart w:id="265" w:name="_Toc98946924"/>
      <w:bookmarkStart w:id="266" w:name="_Toc98946984"/>
      <w:bookmarkStart w:id="267" w:name="_Toc98947001"/>
      <w:bookmarkStart w:id="268" w:name="_Toc98947050"/>
      <w:bookmarkStart w:id="269" w:name="_Toc98947116"/>
      <w:bookmarkStart w:id="270" w:name="_Toc98947152"/>
      <w:bookmarkStart w:id="271" w:name="_Toc98947191"/>
      <w:bookmarkStart w:id="272" w:name="_Toc98947306"/>
      <w:bookmarkStart w:id="273" w:name="_Toc98947320"/>
      <w:bookmarkStart w:id="274" w:name="_Toc98947391"/>
      <w:bookmarkStart w:id="275" w:name="_Toc98947468"/>
      <w:bookmarkStart w:id="276" w:name="_Toc98947528"/>
      <w:bookmarkStart w:id="277" w:name="_Toc98947702"/>
      <w:bookmarkStart w:id="278" w:name="_Toc98947784"/>
      <w:bookmarkStart w:id="279" w:name="_Toc98947849"/>
      <w:bookmarkStart w:id="280" w:name="_Toc98947928"/>
      <w:bookmarkStart w:id="281" w:name="_Toc98947937"/>
      <w:bookmarkStart w:id="282" w:name="_Toc98948015"/>
      <w:bookmarkStart w:id="283" w:name="_Toc98948103"/>
      <w:bookmarkStart w:id="284" w:name="_Toc98948201"/>
      <w:bookmarkStart w:id="285" w:name="_Toc98948337"/>
      <w:bookmarkStart w:id="286" w:name="_Toc98948389"/>
      <w:bookmarkStart w:id="287" w:name="_Toc98948498"/>
      <w:bookmarkStart w:id="288" w:name="_Toc98948593"/>
      <w:bookmarkStart w:id="289" w:name="_Toc98948599"/>
      <w:bookmarkStart w:id="290" w:name="_Toc98949242"/>
      <w:bookmarkStart w:id="291" w:name="_Toc98949307"/>
      <w:bookmarkStart w:id="292" w:name="_Toc98949378"/>
      <w:bookmarkStart w:id="293" w:name="_Toc98949472"/>
      <w:bookmarkStart w:id="294" w:name="_Toc98949551"/>
      <w:bookmarkStart w:id="295" w:name="_Toc98949631"/>
      <w:bookmarkStart w:id="296" w:name="_Toc98949691"/>
      <w:bookmarkStart w:id="297" w:name="_Toc98949758"/>
      <w:bookmarkStart w:id="298" w:name="_Toc98949877"/>
      <w:bookmarkStart w:id="299" w:name="_Toc98950019"/>
      <w:bookmarkStart w:id="300" w:name="_Toc98950151"/>
      <w:bookmarkStart w:id="301" w:name="_Toc98950239"/>
      <w:bookmarkStart w:id="302" w:name="_Toc98950299"/>
      <w:bookmarkStart w:id="303" w:name="_Toc98950394"/>
      <w:bookmarkStart w:id="304" w:name="_Toc98950440"/>
      <w:bookmarkStart w:id="305" w:name="_Toc98950456"/>
      <w:bookmarkStart w:id="306" w:name="_Toc98950551"/>
      <w:bookmarkStart w:id="307" w:name="_Toc98950611"/>
      <w:bookmarkStart w:id="308" w:name="_Toc98950617"/>
      <w:bookmarkStart w:id="309" w:name="_Toc98950637"/>
      <w:bookmarkStart w:id="310" w:name="_Toc98950643"/>
      <w:bookmarkStart w:id="311" w:name="_Toc98950649"/>
      <w:bookmarkStart w:id="312" w:name="_Toc98950665"/>
      <w:bookmarkStart w:id="313" w:name="_Toc98950670"/>
      <w:bookmarkStart w:id="314" w:name="_Toc98950675"/>
      <w:bookmarkStart w:id="315" w:name="_Toc98950720"/>
      <w:bookmarkStart w:id="316" w:name="_Toc98951191"/>
      <w:bookmarkStart w:id="317" w:name="_Toc98951311"/>
      <w:bookmarkStart w:id="318" w:name="_Toc98951433"/>
      <w:bookmarkStart w:id="319" w:name="_Toc98951659"/>
      <w:bookmarkStart w:id="320" w:name="_Toc98951765"/>
      <w:bookmarkStart w:id="321" w:name="_Toc98951778"/>
      <w:bookmarkStart w:id="322" w:name="_Toc98951802"/>
      <w:bookmarkStart w:id="323" w:name="_Toc98951900"/>
      <w:bookmarkStart w:id="324" w:name="_Toc98952004"/>
      <w:bookmarkStart w:id="325" w:name="_Toc98952116"/>
      <w:bookmarkStart w:id="326" w:name="_Toc98952184"/>
      <w:bookmarkStart w:id="327" w:name="_Toc98952237"/>
      <w:bookmarkStart w:id="328" w:name="_Toc98953546"/>
      <w:bookmarkStart w:id="329" w:name="_Toc99003347"/>
      <w:bookmarkStart w:id="330" w:name="_Toc99003400"/>
      <w:bookmarkStart w:id="331" w:name="_Toc99003487"/>
      <w:bookmarkStart w:id="332" w:name="_Toc99003550"/>
      <w:bookmarkStart w:id="333" w:name="_Toc99003650"/>
      <w:bookmarkStart w:id="334" w:name="_Toc99003712"/>
      <w:bookmarkStart w:id="335" w:name="_Toc99003780"/>
      <w:bookmarkStart w:id="336" w:name="_Toc99003842"/>
      <w:bookmarkStart w:id="337" w:name="_Toc99004022"/>
      <w:bookmarkStart w:id="338" w:name="_Toc99004099"/>
      <w:bookmarkStart w:id="339" w:name="_Toc99004181"/>
      <w:bookmarkStart w:id="340" w:name="_Toc99004244"/>
      <w:bookmarkStart w:id="341" w:name="_Toc99004300"/>
      <w:bookmarkStart w:id="342" w:name="_Toc99004305"/>
      <w:bookmarkStart w:id="343" w:name="_Toc99004374"/>
      <w:bookmarkStart w:id="344" w:name="_Toc99004435"/>
      <w:bookmarkStart w:id="345" w:name="_Toc99004495"/>
      <w:bookmarkStart w:id="346" w:name="_Toc99004555"/>
      <w:bookmarkStart w:id="347" w:name="_Toc99004618"/>
      <w:bookmarkStart w:id="348" w:name="_Toc99004748"/>
      <w:bookmarkStart w:id="349" w:name="_Toc99004810"/>
      <w:bookmarkStart w:id="350" w:name="_Toc99004874"/>
      <w:bookmarkStart w:id="351" w:name="_Toc99004951"/>
      <w:bookmarkStart w:id="352" w:name="_Toc99005039"/>
      <w:bookmarkStart w:id="353" w:name="_Toc99005085"/>
      <w:bookmarkStart w:id="354" w:name="_Toc99005114"/>
      <w:bookmarkStart w:id="355" w:name="_Toc99005188"/>
      <w:bookmarkStart w:id="356" w:name="_Toc99005290"/>
      <w:bookmarkStart w:id="357" w:name="_Toc99005566"/>
      <w:bookmarkStart w:id="358" w:name="_Toc99005628"/>
      <w:bookmarkStart w:id="359" w:name="_Toc99005689"/>
      <w:bookmarkStart w:id="360" w:name="_Toc99005809"/>
      <w:bookmarkStart w:id="361" w:name="_Toc99005874"/>
      <w:bookmarkStart w:id="362" w:name="_Toc99005921"/>
      <w:bookmarkStart w:id="363" w:name="_Toc99005945"/>
      <w:bookmarkStart w:id="364" w:name="_Toc99006011"/>
      <w:bookmarkStart w:id="365" w:name="_Toc99006040"/>
      <w:bookmarkStart w:id="366" w:name="_Toc99006071"/>
      <w:bookmarkStart w:id="367" w:name="_Toc99006130"/>
      <w:bookmarkStart w:id="368" w:name="_Toc99006210"/>
      <w:bookmarkStart w:id="369" w:name="_Toc99006276"/>
      <w:bookmarkStart w:id="370" w:name="_Toc99006373"/>
      <w:bookmarkStart w:id="371" w:name="_Toc99006438"/>
      <w:bookmarkStart w:id="372" w:name="_Toc99006512"/>
      <w:bookmarkStart w:id="373" w:name="_Toc99006527"/>
      <w:bookmarkStart w:id="374" w:name="_Toc99006574"/>
      <w:bookmarkStart w:id="375" w:name="_Toc99006679"/>
      <w:bookmarkStart w:id="376" w:name="_Toc99006726"/>
      <w:bookmarkStart w:id="377" w:name="_Toc99006797"/>
      <w:bookmarkStart w:id="378" w:name="_Toc99006857"/>
      <w:bookmarkStart w:id="379" w:name="_Toc99006984"/>
      <w:bookmarkStart w:id="380" w:name="_Toc99007048"/>
      <w:bookmarkStart w:id="381" w:name="_Toc99007111"/>
      <w:bookmarkStart w:id="382" w:name="_Toc99007174"/>
      <w:bookmarkStart w:id="383" w:name="_Toc99007179"/>
      <w:bookmarkStart w:id="384" w:name="_Toc99007206"/>
      <w:bookmarkStart w:id="385" w:name="_Toc99007211"/>
      <w:bookmarkStart w:id="386" w:name="_Toc99008771"/>
      <w:bookmarkStart w:id="387" w:name="_Toc99008910"/>
      <w:bookmarkStart w:id="388" w:name="_Toc99008980"/>
      <w:bookmarkStart w:id="389" w:name="_Toc99009008"/>
      <w:bookmarkStart w:id="390" w:name="_Toc99009038"/>
      <w:bookmarkStart w:id="391" w:name="_Toc99009117"/>
      <w:bookmarkStart w:id="392" w:name="_Toc99009345"/>
      <w:bookmarkStart w:id="393" w:name="_Toc99009410"/>
      <w:bookmarkStart w:id="394" w:name="_Toc99009532"/>
      <w:bookmarkStart w:id="395" w:name="_Toc99009593"/>
      <w:bookmarkStart w:id="396" w:name="_Toc99009654"/>
      <w:bookmarkStart w:id="397" w:name="_Toc99036469"/>
      <w:bookmarkStart w:id="398" w:name="_Toc99036629"/>
      <w:bookmarkStart w:id="399" w:name="_Toc99036694"/>
      <w:bookmarkStart w:id="400" w:name="_Toc99036813"/>
      <w:bookmarkStart w:id="401" w:name="_Toc99036818"/>
      <w:bookmarkStart w:id="402" w:name="_Hlk152777059"/>
      <w:bookmarkStart w:id="403" w:name="_Toc71281053"/>
      <w:bookmarkStart w:id="404" w:name="_Toc71281952"/>
      <w:bookmarkStart w:id="405" w:name="_Toc71291409"/>
      <w:bookmarkStart w:id="406" w:name="_Toc71292037"/>
      <w:bookmarkStart w:id="407" w:name="_Toc71292171"/>
      <w:bookmarkStart w:id="408" w:name="_Toc71292284"/>
      <w:bookmarkStart w:id="409" w:name="_Toc71292646"/>
      <w:bookmarkStart w:id="410" w:name="_Toc71293246"/>
      <w:bookmarkStart w:id="411" w:name="_Toc71293853"/>
      <w:bookmarkStart w:id="412" w:name="_Toc71294455"/>
      <w:bookmarkStart w:id="413" w:name="_Toc71294724"/>
      <w:bookmarkStart w:id="414" w:name="_Toc71294800"/>
      <w:bookmarkStart w:id="415" w:name="_Toc71294952"/>
      <w:bookmarkStart w:id="416" w:name="_Toc71294991"/>
      <w:bookmarkStart w:id="417" w:name="_Toc71295014"/>
      <w:bookmarkStart w:id="418" w:name="_Toc71528816"/>
      <w:bookmarkStart w:id="419" w:name="_Toc71528826"/>
      <w:bookmarkStart w:id="420" w:name="_Toc71529161"/>
      <w:bookmarkStart w:id="421" w:name="_Toc71529323"/>
      <w:bookmarkStart w:id="422" w:name="_Toc71529790"/>
      <w:bookmarkStart w:id="423" w:name="_Toc71529836"/>
      <w:bookmarkStart w:id="424" w:name="_Toc71530363"/>
      <w:bookmarkStart w:id="425" w:name="_Toc71530429"/>
      <w:bookmarkStart w:id="426" w:name="_Toc71530451"/>
      <w:bookmarkStart w:id="427" w:name="_Toc71530594"/>
      <w:bookmarkStart w:id="428" w:name="_Toc71530619"/>
      <w:bookmarkStart w:id="429" w:name="_Toc71530712"/>
      <w:bookmarkStart w:id="430" w:name="_Toc71531011"/>
      <w:bookmarkStart w:id="431" w:name="_Toc71531619"/>
      <w:bookmarkStart w:id="432" w:name="_Toc71532038"/>
      <w:bookmarkStart w:id="433" w:name="_Toc71532049"/>
      <w:bookmarkStart w:id="434" w:name="_Toc71532229"/>
      <w:bookmarkStart w:id="435" w:name="_Toc71532511"/>
      <w:bookmarkStart w:id="436" w:name="_Toc71532568"/>
      <w:bookmarkStart w:id="437" w:name="_Toc71532581"/>
      <w:bookmarkStart w:id="438" w:name="_Toc71532616"/>
      <w:bookmarkStart w:id="439" w:name="_Toc71532621"/>
      <w:bookmarkStart w:id="440" w:name="_Toc71539364"/>
      <w:bookmarkStart w:id="441" w:name="_Toc71539967"/>
      <w:bookmarkStart w:id="442" w:name="_Toc71540405"/>
      <w:bookmarkStart w:id="443" w:name="_Toc71540572"/>
      <w:bookmarkStart w:id="444" w:name="_Toc71541163"/>
      <w:bookmarkStart w:id="445" w:name="_Toc71541189"/>
      <w:bookmarkStart w:id="446" w:name="_Toc71541484"/>
      <w:bookmarkStart w:id="447" w:name="_Toc71542119"/>
      <w:bookmarkStart w:id="448" w:name="_Toc71542530"/>
      <w:bookmarkStart w:id="449" w:name="_Toc71542595"/>
      <w:bookmarkStart w:id="450" w:name="_Toc71542660"/>
      <w:bookmarkStart w:id="451" w:name="_Toc71542718"/>
      <w:bookmarkStart w:id="452" w:name="_Toc71542726"/>
      <w:bookmarkStart w:id="453" w:name="_Toc71542782"/>
      <w:bookmarkStart w:id="454" w:name="_Toc71547653"/>
      <w:bookmarkStart w:id="455" w:name="_Toc71547767"/>
      <w:bookmarkStart w:id="456" w:name="_Toc71548403"/>
      <w:bookmarkStart w:id="457" w:name="_Toc71548417"/>
      <w:bookmarkStart w:id="458" w:name="_Toc71548432"/>
      <w:bookmarkStart w:id="459" w:name="_Toc71549895"/>
      <w:bookmarkStart w:id="460" w:name="_Toc71550270"/>
      <w:bookmarkStart w:id="461" w:name="_Toc71550277"/>
      <w:bookmarkStart w:id="462" w:name="_Toc71550451"/>
      <w:bookmarkStart w:id="463" w:name="_Toc71550731"/>
      <w:bookmarkStart w:id="464" w:name="_Toc71550888"/>
      <w:bookmarkStart w:id="465" w:name="_Toc71551577"/>
      <w:bookmarkStart w:id="466" w:name="_Toc71551760"/>
      <w:bookmarkStart w:id="467" w:name="_Toc71551767"/>
      <w:bookmarkStart w:id="468" w:name="_Toc71551916"/>
      <w:bookmarkStart w:id="469" w:name="_Toc71551918"/>
      <w:bookmarkStart w:id="470" w:name="_Toc71552210"/>
      <w:bookmarkStart w:id="471" w:name="_Toc71552390"/>
      <w:bookmarkStart w:id="472" w:name="_Toc71552824"/>
      <w:bookmarkStart w:id="473" w:name="_Toc71552972"/>
      <w:bookmarkStart w:id="474" w:name="_Toc71553070"/>
      <w:bookmarkStart w:id="475" w:name="_Toc71553156"/>
      <w:bookmarkStart w:id="476" w:name="_Toc71553169"/>
      <w:bookmarkStart w:id="477" w:name="_Toc71553678"/>
      <w:bookmarkStart w:id="478" w:name="_Toc71553876"/>
      <w:bookmarkStart w:id="479" w:name="_Toc71554082"/>
      <w:bookmarkStart w:id="480" w:name="_Toc71554110"/>
      <w:bookmarkStart w:id="481" w:name="_Toc71554122"/>
      <w:bookmarkStart w:id="482" w:name="_Toc71554162"/>
      <w:bookmarkStart w:id="483" w:name="_Toc71555429"/>
      <w:bookmarkStart w:id="484" w:name="_Toc71555958"/>
      <w:bookmarkStart w:id="485" w:name="_Toc71556149"/>
      <w:bookmarkStart w:id="486" w:name="_Toc71556751"/>
      <w:bookmarkStart w:id="487" w:name="_Toc71557381"/>
      <w:bookmarkStart w:id="488" w:name="_Toc71557625"/>
      <w:bookmarkStart w:id="489" w:name="_Toc71557989"/>
      <w:bookmarkStart w:id="490" w:name="_Toc71558258"/>
      <w:bookmarkStart w:id="491" w:name="_Toc71558371"/>
      <w:bookmarkStart w:id="492" w:name="_Toc71558501"/>
      <w:bookmarkStart w:id="493" w:name="_Toc71558636"/>
      <w:bookmarkStart w:id="494" w:name="_Toc71558724"/>
      <w:bookmarkStart w:id="495" w:name="_Toc71559315"/>
      <w:bookmarkStart w:id="496" w:name="_Toc71559366"/>
      <w:bookmarkStart w:id="497" w:name="_Toc71559387"/>
      <w:bookmarkStart w:id="498" w:name="_Toc71559391"/>
      <w:bookmarkStart w:id="499" w:name="_Toc71559396"/>
      <w:bookmarkStart w:id="500" w:name="_Toc71559521"/>
      <w:bookmarkStart w:id="501" w:name="_Toc71559569"/>
      <w:bookmarkStart w:id="502" w:name="_Toc71559574"/>
      <w:bookmarkStart w:id="503" w:name="_Toc71559577"/>
      <w:bookmarkStart w:id="504" w:name="_Toc71559629"/>
      <w:bookmarkStart w:id="505" w:name="_Toc71559665"/>
      <w:bookmarkStart w:id="506" w:name="_Toc71559707"/>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t>Schedule A: Products and Prices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Text"/>
        <w:rPr/>
      </w:pPr>
      <w:r>
        <w:rPr/>
        <w:drawing>
          <wp:inline distT="0" distB="0" distL="0" distR="0">
            <wp:extent cx="5939790" cy="106426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6"/>
                    <a:stretch>
                      <a:fillRect/>
                    </a:stretch>
                  </pic:blipFill>
                  <pic:spPr bwMode="auto">
                    <a:xfrm>
                      <a:off x="0" y="0"/>
                      <a:ext cx="5939790" cy="1064260"/>
                    </a:xfrm>
                    <a:prstGeom prst="rect">
                      <a:avLst/>
                    </a:prstGeom>
                  </pic:spPr>
                </pic:pic>
              </a:graphicData>
            </a:graphic>
          </wp:inline>
        </w:drawing>
      </w:r>
    </w:p>
    <w:p>
      <w:pPr>
        <w:pStyle w:val="Titleschedule"/>
        <w:rPr/>
      </w:pPr>
      <w:r>
        <w:rPr/>
        <w:t>Your distributor price for the MK-01</w:t>
      </w:r>
    </w:p>
    <w:p>
      <w:pPr>
        <w:pStyle w:val="Text"/>
        <w:rPr/>
      </w:pPr>
      <w:r>
        <w:rPr/>
        <w:drawing>
          <wp:inline distT="0" distB="0" distL="0" distR="0">
            <wp:extent cx="5939790" cy="74612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7"/>
                    <a:stretch>
                      <a:fillRect/>
                    </a:stretch>
                  </pic:blipFill>
                  <pic:spPr bwMode="auto">
                    <a:xfrm>
                      <a:off x="0" y="0"/>
                      <a:ext cx="5939790" cy="746125"/>
                    </a:xfrm>
                    <a:prstGeom prst="rect">
                      <a:avLst/>
                    </a:prstGeom>
                  </pic:spPr>
                </pic:pic>
              </a:graphicData>
            </a:graphic>
          </wp:inline>
        </w:drawing>
      </w:r>
    </w:p>
    <w:p>
      <w:pPr>
        <w:pStyle w:val="Normal"/>
        <w:spacing w:lineRule="auto" w:line="276"/>
        <w:rPr>
          <w:rFonts w:eastAsia="Times New Roman"/>
          <w:b/>
          <w:b/>
          <w:lang w:val="en-US"/>
        </w:rPr>
      </w:pPr>
      <w:r>
        <w:rPr>
          <w:rFonts w:eastAsia="Times New Roman"/>
          <w:b/>
          <w:lang w:val="en-US"/>
        </w:rPr>
      </w:r>
      <w:r>
        <w:br w:type="page"/>
      </w:r>
    </w:p>
    <w:p>
      <w:pPr>
        <w:pStyle w:val="Titleschedule"/>
        <w:rPr/>
      </w:pPr>
      <w:bookmarkStart w:id="507" w:name="_Toc71560160"/>
      <w:bookmarkStart w:id="508" w:name="_Toc71560172"/>
      <w:bookmarkStart w:id="509" w:name="_Toc71560223"/>
      <w:bookmarkStart w:id="510" w:name="_Toc71560639"/>
      <w:bookmarkStart w:id="511" w:name="_Toc71560710"/>
      <w:bookmarkStart w:id="512" w:name="_Toc71560723"/>
      <w:bookmarkStart w:id="513" w:name="_Toc71560749"/>
      <w:bookmarkStart w:id="514" w:name="_Toc71560770"/>
      <w:bookmarkStart w:id="515" w:name="_Toc71560808"/>
      <w:bookmarkStart w:id="516" w:name="_Toc71560863"/>
      <w:bookmarkStart w:id="517" w:name="_Toc71560880"/>
      <w:bookmarkStart w:id="518" w:name="_Toc71560888"/>
      <w:bookmarkStart w:id="519" w:name="_Toc71560900"/>
      <w:bookmarkStart w:id="520" w:name="_Toc71560921"/>
      <w:bookmarkStart w:id="521" w:name="_Toc71560966"/>
      <w:bookmarkStart w:id="522" w:name="_Toc71560975"/>
      <w:bookmarkStart w:id="523" w:name="_Toc71561062"/>
      <w:bookmarkStart w:id="524" w:name="_Toc71561101"/>
      <w:bookmarkStart w:id="525" w:name="_Toc71561105"/>
      <w:bookmarkStart w:id="526" w:name="_Toc71561170"/>
      <w:bookmarkStart w:id="527" w:name="_Toc71561181"/>
      <w:bookmarkStart w:id="528" w:name="_Toc71561187"/>
      <w:bookmarkStart w:id="529" w:name="_Toc71561247"/>
      <w:bookmarkStart w:id="530" w:name="_Toc71561278"/>
      <w:bookmarkStart w:id="531" w:name="_Toc71561307"/>
      <w:bookmarkStart w:id="532" w:name="_Toc71563985"/>
      <w:bookmarkStart w:id="533" w:name="_Toc71563997"/>
      <w:bookmarkStart w:id="534" w:name="_Toc71564047"/>
      <w:bookmarkStart w:id="535" w:name="_Toc71564167"/>
      <w:bookmarkStart w:id="536" w:name="_Toc71564616"/>
      <w:bookmarkStart w:id="537" w:name="_Toc71564707"/>
      <w:bookmarkStart w:id="538" w:name="_Toc71565857"/>
      <w:bookmarkStart w:id="539" w:name="_Toc71566956"/>
      <w:bookmarkStart w:id="540" w:name="_Toc71567052"/>
      <w:bookmarkStart w:id="541" w:name="_Toc71567077"/>
      <w:bookmarkStart w:id="542" w:name="_Toc71567104"/>
      <w:bookmarkStart w:id="543" w:name="_Toc71567164"/>
      <w:bookmarkStart w:id="544" w:name="_Toc71567220"/>
      <w:bookmarkStart w:id="545" w:name="_Toc71567361"/>
      <w:bookmarkStart w:id="546" w:name="_Toc71567553"/>
      <w:bookmarkStart w:id="547" w:name="_Toc71567617"/>
      <w:bookmarkStart w:id="548" w:name="_Toc71567751"/>
      <w:bookmarkStart w:id="549" w:name="_Toc71567942"/>
      <w:bookmarkStart w:id="550" w:name="_Toc71567949"/>
      <w:bookmarkStart w:id="551" w:name="_Toc71567982"/>
      <w:bookmarkStart w:id="552" w:name="_Toc71568017"/>
      <w:bookmarkStart w:id="553" w:name="_Toc71568044"/>
      <w:bookmarkStart w:id="554" w:name="_Toc71568074"/>
      <w:bookmarkStart w:id="555" w:name="_Toc71568099"/>
      <w:bookmarkStart w:id="556" w:name="_Toc71568104"/>
      <w:bookmarkStart w:id="557" w:name="_Toc71568157"/>
      <w:bookmarkStart w:id="558" w:name="_Toc71568264"/>
      <w:bookmarkStart w:id="559" w:name="_Toc71568273"/>
      <w:bookmarkStart w:id="560" w:name="_Toc71568344"/>
      <w:bookmarkStart w:id="561" w:name="_Toc71568372"/>
      <w:bookmarkStart w:id="562" w:name="_Toc71568408"/>
      <w:bookmarkStart w:id="563" w:name="_Toc71568424"/>
      <w:bookmarkStart w:id="564" w:name="_Toc71568437"/>
      <w:bookmarkStart w:id="565" w:name="_Toc71568470"/>
      <w:bookmarkStart w:id="566" w:name="_Toc71568482"/>
      <w:bookmarkStart w:id="567" w:name="_Toc71568785"/>
      <w:bookmarkStart w:id="568" w:name="_Toc71568891"/>
      <w:bookmarkStart w:id="569" w:name="_Toc71568924"/>
      <w:bookmarkStart w:id="570" w:name="_Toc71568981"/>
      <w:bookmarkStart w:id="571" w:name="_Toc71569237"/>
      <w:bookmarkStart w:id="572" w:name="_Toc71569455"/>
      <w:bookmarkStart w:id="573" w:name="_Toc71569580"/>
      <w:bookmarkStart w:id="574" w:name="_Toc71569586"/>
      <w:bookmarkStart w:id="575" w:name="_Toc71569651"/>
      <w:bookmarkStart w:id="576" w:name="_Toc71569656"/>
      <w:bookmarkStart w:id="577" w:name="_Toc71569664"/>
      <w:bookmarkStart w:id="578" w:name="_Toc71569674"/>
      <w:bookmarkStart w:id="579" w:name="_Toc71569721"/>
      <w:bookmarkStart w:id="580" w:name="_Toc71569765"/>
      <w:bookmarkStart w:id="581" w:name="_Toc71569770"/>
      <w:bookmarkStart w:id="582" w:name="_Toc71569775"/>
      <w:bookmarkStart w:id="583" w:name="_Toc71569791"/>
      <w:bookmarkStart w:id="584" w:name="_Toc71570067"/>
      <w:bookmarkStart w:id="585" w:name="_Toc71570108"/>
      <w:bookmarkStart w:id="586" w:name="_Toc71570259"/>
      <w:bookmarkStart w:id="587" w:name="_Toc71570403"/>
      <w:bookmarkStart w:id="588" w:name="_Toc71570413"/>
      <w:bookmarkStart w:id="589" w:name="_Toc71700332"/>
      <w:bookmarkStart w:id="590" w:name="_Toc71700563"/>
      <w:bookmarkStart w:id="591" w:name="_Toc71700609"/>
      <w:bookmarkStart w:id="592" w:name="_Toc71700714"/>
      <w:bookmarkStart w:id="593" w:name="_Toc71700760"/>
      <w:bookmarkStart w:id="594" w:name="_Toc71700987"/>
      <w:bookmarkStart w:id="595" w:name="_Toc71701599"/>
      <w:bookmarkStart w:id="596" w:name="_Toc71702192"/>
      <w:bookmarkStart w:id="597" w:name="_Toc71702210"/>
      <w:bookmarkStart w:id="598" w:name="_Toc71702216"/>
      <w:bookmarkStart w:id="599" w:name="_Toc71708532"/>
      <w:bookmarkStart w:id="600" w:name="_Toc71709485"/>
      <w:bookmarkStart w:id="601" w:name="_Toc71709536"/>
      <w:bookmarkStart w:id="602" w:name="_Toc71709541"/>
      <w:bookmarkStart w:id="603" w:name="_Toc98779250"/>
      <w:bookmarkStart w:id="604" w:name="_Toc98779288"/>
      <w:bookmarkStart w:id="605" w:name="_Toc98779355"/>
      <w:bookmarkStart w:id="606" w:name="_Toc98779448"/>
      <w:bookmarkStart w:id="607" w:name="_Toc98779518"/>
      <w:bookmarkStart w:id="608" w:name="_Toc98779593"/>
      <w:bookmarkStart w:id="609" w:name="_Toc98779653"/>
      <w:bookmarkStart w:id="610" w:name="_Toc98779730"/>
      <w:bookmarkStart w:id="611" w:name="_Toc98779790"/>
      <w:bookmarkStart w:id="612" w:name="_Toc98779851"/>
      <w:bookmarkStart w:id="613" w:name="_Toc98779965"/>
      <w:bookmarkStart w:id="614" w:name="_Toc98780070"/>
      <w:bookmarkStart w:id="615" w:name="_Toc98780150"/>
      <w:bookmarkStart w:id="616" w:name="_Toc98780204"/>
      <w:bookmarkStart w:id="617" w:name="_Toc98780300"/>
      <w:bookmarkStart w:id="618" w:name="_Toc98780393"/>
      <w:bookmarkStart w:id="619" w:name="_Toc98780480"/>
      <w:bookmarkStart w:id="620" w:name="_Toc98780561"/>
      <w:bookmarkStart w:id="621" w:name="_Toc98780590"/>
      <w:bookmarkStart w:id="622" w:name="_Toc98780621"/>
      <w:bookmarkStart w:id="623" w:name="_Toc98780685"/>
      <w:bookmarkStart w:id="624" w:name="_Toc98780755"/>
      <w:bookmarkStart w:id="625" w:name="_Toc98780822"/>
      <w:bookmarkStart w:id="626" w:name="_Toc98780923"/>
      <w:bookmarkStart w:id="627" w:name="_Toc98780934"/>
      <w:bookmarkStart w:id="628" w:name="_Toc98780943"/>
      <w:bookmarkStart w:id="629" w:name="_Toc98831114"/>
      <w:bookmarkStart w:id="630" w:name="_Toc98831181"/>
      <w:bookmarkStart w:id="631" w:name="_Toc98831301"/>
      <w:bookmarkStart w:id="632" w:name="_Toc98831556"/>
      <w:bookmarkStart w:id="633" w:name="_Toc98831573"/>
      <w:bookmarkStart w:id="634" w:name="_Toc98831652"/>
      <w:bookmarkStart w:id="635" w:name="_Toc98831675"/>
      <w:bookmarkStart w:id="636" w:name="_Toc98831804"/>
      <w:bookmarkStart w:id="637" w:name="_Toc98831821"/>
      <w:bookmarkStart w:id="638" w:name="_Toc98831843"/>
      <w:bookmarkStart w:id="639" w:name="_Toc98831849"/>
      <w:bookmarkStart w:id="640" w:name="_Toc98831855"/>
      <w:bookmarkStart w:id="641" w:name="_Toc98831861"/>
      <w:bookmarkStart w:id="642" w:name="_Toc98937968"/>
      <w:bookmarkStart w:id="643" w:name="_Toc98941482"/>
      <w:bookmarkStart w:id="644" w:name="_Toc98941867"/>
      <w:bookmarkStart w:id="645" w:name="_Toc98941928"/>
      <w:bookmarkStart w:id="646" w:name="_Toc98942023"/>
      <w:bookmarkStart w:id="647" w:name="_Toc98942174"/>
      <w:bookmarkStart w:id="648" w:name="_Toc98942245"/>
      <w:bookmarkStart w:id="649" w:name="_Toc98942306"/>
      <w:bookmarkStart w:id="650" w:name="_Toc98942366"/>
      <w:bookmarkStart w:id="651" w:name="_Toc98942440"/>
      <w:bookmarkStart w:id="652" w:name="_Toc98942500"/>
      <w:bookmarkStart w:id="653" w:name="_Toc98942569"/>
      <w:bookmarkStart w:id="654" w:name="_Toc98942643"/>
      <w:bookmarkStart w:id="655" w:name="_Toc98942716"/>
      <w:bookmarkStart w:id="656" w:name="_Toc98942837"/>
      <w:bookmarkStart w:id="657" w:name="_Toc98942912"/>
      <w:bookmarkStart w:id="658" w:name="_Toc98943032"/>
      <w:bookmarkStart w:id="659" w:name="_Toc98944542"/>
      <w:bookmarkStart w:id="660" w:name="_Toc98944622"/>
      <w:bookmarkStart w:id="661" w:name="_Toc98944712"/>
      <w:bookmarkStart w:id="662" w:name="_Toc98944775"/>
      <w:bookmarkStart w:id="663" w:name="_Toc98944830"/>
      <w:bookmarkStart w:id="664" w:name="_Toc98944883"/>
      <w:bookmarkStart w:id="665" w:name="_Toc98944943"/>
      <w:bookmarkStart w:id="666" w:name="_Toc98945010"/>
      <w:bookmarkStart w:id="667" w:name="_Toc98945080"/>
      <w:bookmarkStart w:id="668" w:name="_Toc98945403"/>
      <w:bookmarkStart w:id="669" w:name="_Toc98945490"/>
      <w:bookmarkStart w:id="670" w:name="_Toc98945568"/>
      <w:bookmarkStart w:id="671" w:name="_Toc98945628"/>
      <w:bookmarkStart w:id="672" w:name="_Toc98945724"/>
      <w:bookmarkStart w:id="673" w:name="_Toc98945784"/>
      <w:bookmarkStart w:id="674" w:name="_Toc98945852"/>
      <w:bookmarkStart w:id="675" w:name="_Toc98945942"/>
      <w:bookmarkStart w:id="676" w:name="_Toc98946002"/>
      <w:bookmarkStart w:id="677" w:name="_Toc98946039"/>
      <w:bookmarkStart w:id="678" w:name="_Toc98946601"/>
      <w:bookmarkStart w:id="679" w:name="_Toc98946664"/>
      <w:bookmarkStart w:id="680" w:name="_Toc98946925"/>
      <w:bookmarkStart w:id="681" w:name="_Toc98946985"/>
      <w:bookmarkStart w:id="682" w:name="_Toc98947002"/>
      <w:bookmarkStart w:id="683" w:name="_Toc98947051"/>
      <w:bookmarkStart w:id="684" w:name="_Toc98947117"/>
      <w:bookmarkStart w:id="685" w:name="_Toc98947153"/>
      <w:bookmarkStart w:id="686" w:name="_Toc98947192"/>
      <w:bookmarkStart w:id="687" w:name="_Toc98947307"/>
      <w:bookmarkStart w:id="688" w:name="_Toc98947321"/>
      <w:bookmarkStart w:id="689" w:name="_Toc98947392"/>
      <w:bookmarkStart w:id="690" w:name="_Toc98947469"/>
      <w:bookmarkStart w:id="691" w:name="_Toc98947529"/>
      <w:bookmarkStart w:id="692" w:name="_Toc98947703"/>
      <w:bookmarkStart w:id="693" w:name="_Toc98947785"/>
      <w:bookmarkStart w:id="694" w:name="_Toc98947850"/>
      <w:bookmarkStart w:id="695" w:name="_Toc98947929"/>
      <w:bookmarkStart w:id="696" w:name="_Toc98947938"/>
      <w:bookmarkStart w:id="697" w:name="_Toc98948016"/>
      <w:bookmarkStart w:id="698" w:name="_Toc98948104"/>
      <w:bookmarkStart w:id="699" w:name="_Toc98948202"/>
      <w:bookmarkStart w:id="700" w:name="_Toc98948338"/>
      <w:bookmarkStart w:id="701" w:name="_Toc98948390"/>
      <w:bookmarkStart w:id="702" w:name="_Toc98948499"/>
      <w:bookmarkStart w:id="703" w:name="_Toc98948594"/>
      <w:bookmarkStart w:id="704" w:name="_Toc98948600"/>
      <w:bookmarkStart w:id="705" w:name="_Toc98949243"/>
      <w:bookmarkStart w:id="706" w:name="_Toc98949308"/>
      <w:bookmarkStart w:id="707" w:name="_Toc98949379"/>
      <w:bookmarkStart w:id="708" w:name="_Toc98949473"/>
      <w:bookmarkStart w:id="709" w:name="_Toc98949552"/>
      <w:bookmarkStart w:id="710" w:name="_Toc98949632"/>
      <w:bookmarkStart w:id="711" w:name="_Toc98949692"/>
      <w:bookmarkStart w:id="712" w:name="_Toc98949759"/>
      <w:bookmarkStart w:id="713" w:name="_Toc98949878"/>
      <w:bookmarkStart w:id="714" w:name="_Toc98950020"/>
      <w:bookmarkStart w:id="715" w:name="_Toc98950152"/>
      <w:bookmarkStart w:id="716" w:name="_Toc98950240"/>
      <w:bookmarkStart w:id="717" w:name="_Toc98950300"/>
      <w:bookmarkStart w:id="718" w:name="_Toc98950395"/>
      <w:bookmarkStart w:id="719" w:name="_Toc98950441"/>
      <w:bookmarkStart w:id="720" w:name="_Toc98950457"/>
      <w:bookmarkStart w:id="721" w:name="_Toc98950552"/>
      <w:bookmarkStart w:id="722" w:name="_Toc98950612"/>
      <w:bookmarkStart w:id="723" w:name="_Toc98950618"/>
      <w:bookmarkStart w:id="724" w:name="_Toc98950638"/>
      <w:bookmarkStart w:id="725" w:name="_Toc98950644"/>
      <w:bookmarkStart w:id="726" w:name="_Toc98950650"/>
      <w:bookmarkStart w:id="727" w:name="_Toc98950666"/>
      <w:bookmarkStart w:id="728" w:name="_Toc98950671"/>
      <w:bookmarkStart w:id="729" w:name="_Toc98950676"/>
      <w:bookmarkStart w:id="730" w:name="_Toc98950721"/>
      <w:bookmarkStart w:id="731" w:name="_Toc98951192"/>
      <w:bookmarkStart w:id="732" w:name="_Toc98951312"/>
      <w:bookmarkStart w:id="733" w:name="_Toc98951434"/>
      <w:bookmarkStart w:id="734" w:name="_Toc98951660"/>
      <w:bookmarkStart w:id="735" w:name="_Toc98951766"/>
      <w:bookmarkStart w:id="736" w:name="_Toc98951779"/>
      <w:bookmarkStart w:id="737" w:name="_Toc98951803"/>
      <w:bookmarkStart w:id="738" w:name="_Toc98951901"/>
      <w:bookmarkStart w:id="739" w:name="_Toc98952005"/>
      <w:bookmarkStart w:id="740" w:name="_Toc98952117"/>
      <w:bookmarkStart w:id="741" w:name="_Toc98952185"/>
      <w:bookmarkStart w:id="742" w:name="_Toc98952238"/>
      <w:bookmarkStart w:id="743" w:name="_Toc98953547"/>
      <w:bookmarkStart w:id="744" w:name="_Toc99003348"/>
      <w:bookmarkStart w:id="745" w:name="_Toc99003401"/>
      <w:bookmarkStart w:id="746" w:name="_Toc99003488"/>
      <w:bookmarkStart w:id="747" w:name="_Toc99003551"/>
      <w:bookmarkStart w:id="748" w:name="_Toc99003651"/>
      <w:bookmarkStart w:id="749" w:name="_Toc99003713"/>
      <w:bookmarkStart w:id="750" w:name="_Toc99003781"/>
      <w:bookmarkStart w:id="751" w:name="_Toc99003843"/>
      <w:bookmarkStart w:id="752" w:name="_Toc99004023"/>
      <w:bookmarkStart w:id="753" w:name="_Toc99004100"/>
      <w:bookmarkStart w:id="754" w:name="_Toc99004182"/>
      <w:bookmarkStart w:id="755" w:name="_Toc99004245"/>
      <w:bookmarkStart w:id="756" w:name="_Toc99004301"/>
      <w:bookmarkStart w:id="757" w:name="_Toc99004306"/>
      <w:bookmarkStart w:id="758" w:name="_Toc99004375"/>
      <w:bookmarkStart w:id="759" w:name="_Toc99004436"/>
      <w:bookmarkStart w:id="760" w:name="_Toc99004496"/>
      <w:bookmarkStart w:id="761" w:name="_Toc99004556"/>
      <w:bookmarkStart w:id="762" w:name="_Toc99004619"/>
      <w:bookmarkStart w:id="763" w:name="_Toc99004749"/>
      <w:bookmarkStart w:id="764" w:name="_Toc99004811"/>
      <w:bookmarkStart w:id="765" w:name="_Toc99004875"/>
      <w:bookmarkStart w:id="766" w:name="_Toc99004952"/>
      <w:bookmarkStart w:id="767" w:name="_Toc99005040"/>
      <w:bookmarkStart w:id="768" w:name="_Toc99005086"/>
      <w:bookmarkStart w:id="769" w:name="_Toc99005115"/>
      <w:bookmarkStart w:id="770" w:name="_Toc99005189"/>
      <w:bookmarkStart w:id="771" w:name="_Toc99005291"/>
      <w:bookmarkStart w:id="772" w:name="_Toc99005567"/>
      <w:bookmarkStart w:id="773" w:name="_Toc99005629"/>
      <w:bookmarkStart w:id="774" w:name="_Toc99005690"/>
      <w:bookmarkStart w:id="775" w:name="_Toc99005810"/>
      <w:bookmarkStart w:id="776" w:name="_Toc99005875"/>
      <w:bookmarkStart w:id="777" w:name="_Toc99005922"/>
      <w:bookmarkStart w:id="778" w:name="_Toc99005946"/>
      <w:bookmarkStart w:id="779" w:name="_Toc99006012"/>
      <w:bookmarkStart w:id="780" w:name="_Toc99006041"/>
      <w:bookmarkStart w:id="781" w:name="_Toc99006072"/>
      <w:bookmarkStart w:id="782" w:name="_Toc99006131"/>
      <w:bookmarkStart w:id="783" w:name="_Toc99006211"/>
      <w:bookmarkStart w:id="784" w:name="_Toc99006277"/>
      <w:bookmarkStart w:id="785" w:name="_Toc99006374"/>
      <w:bookmarkStart w:id="786" w:name="_Toc99006439"/>
      <w:bookmarkStart w:id="787" w:name="_Toc99006513"/>
      <w:bookmarkStart w:id="788" w:name="_Toc99006528"/>
      <w:bookmarkStart w:id="789" w:name="_Toc99006575"/>
      <w:bookmarkStart w:id="790" w:name="_Toc99006680"/>
      <w:bookmarkStart w:id="791" w:name="_Toc99006727"/>
      <w:bookmarkStart w:id="792" w:name="_Toc99006798"/>
      <w:bookmarkStart w:id="793" w:name="_Toc99006858"/>
      <w:bookmarkStart w:id="794" w:name="_Toc99006985"/>
      <w:bookmarkStart w:id="795" w:name="_Toc99007049"/>
      <w:bookmarkStart w:id="796" w:name="_Toc99007112"/>
      <w:bookmarkStart w:id="797" w:name="_Toc99007175"/>
      <w:bookmarkStart w:id="798" w:name="_Toc99007180"/>
      <w:bookmarkStart w:id="799" w:name="_Toc99007207"/>
      <w:bookmarkStart w:id="800" w:name="_Toc99007212"/>
      <w:bookmarkStart w:id="801" w:name="_Toc99008772"/>
      <w:bookmarkStart w:id="802" w:name="_Toc99008911"/>
      <w:bookmarkStart w:id="803" w:name="_Toc99008981"/>
      <w:bookmarkStart w:id="804" w:name="_Toc99009009"/>
      <w:bookmarkStart w:id="805" w:name="_Toc99009039"/>
      <w:bookmarkStart w:id="806" w:name="_Toc99009118"/>
      <w:bookmarkStart w:id="807" w:name="_Toc99009346"/>
      <w:bookmarkStart w:id="808" w:name="_Toc99009411"/>
      <w:bookmarkStart w:id="809" w:name="_Toc99009533"/>
      <w:bookmarkStart w:id="810" w:name="_Toc99009594"/>
      <w:bookmarkStart w:id="811" w:name="_Toc99009655"/>
      <w:bookmarkStart w:id="812" w:name="_Toc99036470"/>
      <w:bookmarkStart w:id="813" w:name="_Toc99036630"/>
      <w:bookmarkStart w:id="814" w:name="_Toc99036695"/>
      <w:bookmarkStart w:id="815" w:name="_Toc99036814"/>
      <w:bookmarkStart w:id="816" w:name="_Toc99036819"/>
      <w:r>
        <w:rPr/>
        <w:t>Schedule B: Territory</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pPr>
        <w:pStyle w:val="Text"/>
        <w:rPr/>
      </w:pPr>
      <w:r>
        <w:rPr/>
      </w:r>
    </w:p>
    <w:p>
      <w:pPr>
        <w:pStyle w:val="Text"/>
        <w:rPr/>
      </w:pPr>
      <w:r>
        <w:rPr/>
        <w:t>United Kingdom (Great Britain and Northern Ireland)</w:t>
      </w:r>
    </w:p>
    <w:p>
      <w:pPr>
        <w:pStyle w:val="Text"/>
        <w:rPr/>
      </w:pPr>
      <w:r>
        <w:rPr/>
      </w:r>
    </w:p>
    <w:p>
      <w:pPr>
        <w:pStyle w:val="Normal"/>
        <w:spacing w:lineRule="auto" w:line="276"/>
        <w:rPr>
          <w:rFonts w:eastAsia="Times New Roman"/>
          <w:b/>
          <w:b/>
          <w:lang w:val="en-US"/>
        </w:rPr>
      </w:pPr>
      <w:r>
        <w:rPr>
          <w:rFonts w:eastAsia="Times New Roman"/>
          <w:b/>
          <w:lang w:val="en-US"/>
        </w:rPr>
      </w:r>
      <w:r>
        <w:br w:type="page"/>
      </w:r>
    </w:p>
    <w:p>
      <w:pPr>
        <w:pStyle w:val="Titleschedule"/>
        <w:rPr/>
      </w:pPr>
      <w:bookmarkStart w:id="817" w:name="_Toc71561063"/>
      <w:bookmarkStart w:id="818" w:name="_Toc71561102"/>
      <w:bookmarkStart w:id="819" w:name="_Toc71561106"/>
      <w:bookmarkStart w:id="820" w:name="_Toc71561171"/>
      <w:bookmarkStart w:id="821" w:name="_Toc71561182"/>
      <w:bookmarkStart w:id="822" w:name="_Toc71561188"/>
      <w:bookmarkStart w:id="823" w:name="_Toc71561248"/>
      <w:bookmarkStart w:id="824" w:name="_Toc71561279"/>
      <w:bookmarkStart w:id="825" w:name="_Toc71561308"/>
      <w:bookmarkStart w:id="826" w:name="_Toc71563986"/>
      <w:bookmarkStart w:id="827" w:name="_Toc71563998"/>
      <w:bookmarkStart w:id="828" w:name="_Toc71564048"/>
      <w:bookmarkStart w:id="829" w:name="_Toc71564168"/>
      <w:bookmarkStart w:id="830" w:name="_Toc71564617"/>
      <w:bookmarkStart w:id="831" w:name="_Toc71564708"/>
      <w:bookmarkStart w:id="832" w:name="_Toc71565858"/>
      <w:bookmarkStart w:id="833" w:name="_Toc71566957"/>
      <w:bookmarkStart w:id="834" w:name="_Toc71567053"/>
      <w:bookmarkStart w:id="835" w:name="_Toc71567078"/>
      <w:bookmarkStart w:id="836" w:name="_Toc71567105"/>
      <w:bookmarkStart w:id="837" w:name="_Toc71567165"/>
      <w:bookmarkStart w:id="838" w:name="_Toc71567221"/>
      <w:bookmarkStart w:id="839" w:name="_Toc71567362"/>
      <w:bookmarkStart w:id="840" w:name="_Toc71567554"/>
      <w:bookmarkStart w:id="841" w:name="_Toc71567618"/>
      <w:bookmarkStart w:id="842" w:name="_Toc71567752"/>
      <w:bookmarkStart w:id="843" w:name="_Toc71567943"/>
      <w:bookmarkStart w:id="844" w:name="_Toc71567950"/>
      <w:bookmarkStart w:id="845" w:name="_Toc71567983"/>
      <w:bookmarkStart w:id="846" w:name="_Toc71568018"/>
      <w:bookmarkStart w:id="847" w:name="_Toc71568045"/>
      <w:bookmarkStart w:id="848" w:name="_Toc71568075"/>
      <w:bookmarkStart w:id="849" w:name="_Toc71568100"/>
      <w:bookmarkStart w:id="850" w:name="_Toc71568105"/>
      <w:bookmarkStart w:id="851" w:name="_Toc71568158"/>
      <w:bookmarkStart w:id="852" w:name="_Toc71568265"/>
      <w:bookmarkStart w:id="853" w:name="_Toc71568274"/>
      <w:bookmarkStart w:id="854" w:name="_Toc71568345"/>
      <w:bookmarkStart w:id="855" w:name="_Toc71568373"/>
      <w:bookmarkStart w:id="856" w:name="_Toc71568409"/>
      <w:bookmarkStart w:id="857" w:name="_Toc71568425"/>
      <w:bookmarkStart w:id="858" w:name="_Toc71568438"/>
      <w:bookmarkStart w:id="859" w:name="_Toc71568471"/>
      <w:bookmarkStart w:id="860" w:name="_Toc71568483"/>
      <w:bookmarkStart w:id="861" w:name="_Toc71568786"/>
      <w:bookmarkStart w:id="862" w:name="_Toc71568892"/>
      <w:bookmarkStart w:id="863" w:name="_Toc71568925"/>
      <w:bookmarkStart w:id="864" w:name="_Toc71568982"/>
      <w:bookmarkStart w:id="865" w:name="_Toc71569238"/>
      <w:bookmarkStart w:id="866" w:name="_Toc71569456"/>
      <w:bookmarkStart w:id="867" w:name="_Toc71569581"/>
      <w:bookmarkStart w:id="868" w:name="_Toc71569587"/>
      <w:bookmarkStart w:id="869" w:name="_Toc71569652"/>
      <w:bookmarkStart w:id="870" w:name="_Toc71569657"/>
      <w:bookmarkStart w:id="871" w:name="_Toc71569665"/>
      <w:bookmarkStart w:id="872" w:name="_Toc71569675"/>
      <w:bookmarkStart w:id="873" w:name="_Toc71569722"/>
      <w:bookmarkStart w:id="874" w:name="_Toc71569766"/>
      <w:bookmarkStart w:id="875" w:name="_Toc71569771"/>
      <w:bookmarkStart w:id="876" w:name="_Toc71569776"/>
      <w:bookmarkStart w:id="877" w:name="_Toc71569792"/>
      <w:bookmarkStart w:id="878" w:name="_Toc71570068"/>
      <w:bookmarkStart w:id="879" w:name="_Toc71570109"/>
      <w:bookmarkStart w:id="880" w:name="_Toc71570260"/>
      <w:bookmarkStart w:id="881" w:name="_Toc71570404"/>
      <w:bookmarkStart w:id="882" w:name="_Toc71570414"/>
      <w:bookmarkStart w:id="883" w:name="_Toc71700333"/>
      <w:bookmarkStart w:id="884" w:name="_Toc71700564"/>
      <w:bookmarkStart w:id="885" w:name="_Toc71700610"/>
      <w:bookmarkStart w:id="886" w:name="_Toc71700715"/>
      <w:bookmarkStart w:id="887" w:name="_Toc71700761"/>
      <w:bookmarkStart w:id="888" w:name="_Toc71700988"/>
      <w:bookmarkStart w:id="889" w:name="_Toc71701600"/>
      <w:bookmarkStart w:id="890" w:name="_Toc71702193"/>
      <w:bookmarkStart w:id="891" w:name="_Toc71702211"/>
      <w:bookmarkStart w:id="892" w:name="_Toc71702217"/>
      <w:bookmarkStart w:id="893" w:name="_Toc71708533"/>
      <w:bookmarkStart w:id="894" w:name="_Toc71709486"/>
      <w:bookmarkStart w:id="895" w:name="_Toc71709537"/>
      <w:bookmarkStart w:id="896" w:name="_Toc71709542"/>
      <w:bookmarkStart w:id="897" w:name="_Toc98779252"/>
      <w:bookmarkStart w:id="898" w:name="_Toc98779290"/>
      <w:bookmarkStart w:id="899" w:name="_Toc98779357"/>
      <w:bookmarkStart w:id="900" w:name="_Toc98779450"/>
      <w:bookmarkStart w:id="901" w:name="_Toc98779520"/>
      <w:bookmarkStart w:id="902" w:name="_Toc98779595"/>
      <w:bookmarkStart w:id="903" w:name="_Toc98779655"/>
      <w:bookmarkStart w:id="904" w:name="_Toc98779732"/>
      <w:bookmarkStart w:id="905" w:name="_Toc98779792"/>
      <w:bookmarkStart w:id="906" w:name="_Toc98779853"/>
      <w:bookmarkStart w:id="907" w:name="_Toc98779967"/>
      <w:bookmarkStart w:id="908" w:name="_Toc98780072"/>
      <w:bookmarkStart w:id="909" w:name="_Toc98780152"/>
      <w:bookmarkStart w:id="910" w:name="_Toc98780206"/>
      <w:bookmarkStart w:id="911" w:name="_Toc98780302"/>
      <w:bookmarkStart w:id="912" w:name="_Toc98780395"/>
      <w:bookmarkStart w:id="913" w:name="_Toc98780482"/>
      <w:bookmarkStart w:id="914" w:name="_Toc98780563"/>
      <w:bookmarkStart w:id="915" w:name="_Toc98780592"/>
      <w:bookmarkStart w:id="916" w:name="_Toc98780623"/>
      <w:bookmarkStart w:id="917" w:name="_Toc98780687"/>
      <w:bookmarkStart w:id="918" w:name="_Toc98780757"/>
      <w:bookmarkStart w:id="919" w:name="_Toc98780824"/>
      <w:bookmarkStart w:id="920" w:name="_Toc98780925"/>
      <w:bookmarkStart w:id="921" w:name="_Toc98780936"/>
      <w:bookmarkStart w:id="922" w:name="_Toc98780945"/>
      <w:bookmarkStart w:id="923" w:name="_Toc98831116"/>
      <w:bookmarkStart w:id="924" w:name="_Toc98831183"/>
      <w:bookmarkStart w:id="925" w:name="_Toc98831303"/>
      <w:bookmarkStart w:id="926" w:name="_Toc98831558"/>
      <w:bookmarkStart w:id="927" w:name="_Toc98831575"/>
      <w:bookmarkStart w:id="928" w:name="_Toc98831654"/>
      <w:bookmarkStart w:id="929" w:name="_Toc98831677"/>
      <w:bookmarkStart w:id="930" w:name="_Toc98831806"/>
      <w:bookmarkStart w:id="931" w:name="_Toc98831823"/>
      <w:bookmarkStart w:id="932" w:name="_Toc98831845"/>
      <w:bookmarkStart w:id="933" w:name="_Toc98831851"/>
      <w:bookmarkStart w:id="934" w:name="_Toc98831857"/>
      <w:bookmarkStart w:id="935" w:name="_Toc98831863"/>
      <w:bookmarkStart w:id="936" w:name="_Toc98937970"/>
      <w:bookmarkStart w:id="937" w:name="_Toc98941484"/>
      <w:bookmarkStart w:id="938" w:name="_Toc98941869"/>
      <w:bookmarkStart w:id="939" w:name="_Toc98941930"/>
      <w:bookmarkStart w:id="940" w:name="_Toc98942025"/>
      <w:bookmarkStart w:id="941" w:name="_Toc98942176"/>
      <w:bookmarkStart w:id="942" w:name="_Toc98942247"/>
      <w:bookmarkStart w:id="943" w:name="_Toc98942308"/>
      <w:bookmarkStart w:id="944" w:name="_Toc98942368"/>
      <w:bookmarkStart w:id="945" w:name="_Toc98942442"/>
      <w:bookmarkStart w:id="946" w:name="_Toc98942502"/>
      <w:bookmarkStart w:id="947" w:name="_Toc98942571"/>
      <w:bookmarkStart w:id="948" w:name="_Toc98942645"/>
      <w:bookmarkStart w:id="949" w:name="_Toc98942718"/>
      <w:bookmarkStart w:id="950" w:name="_Toc98942839"/>
      <w:bookmarkStart w:id="951" w:name="_Toc98942914"/>
      <w:bookmarkStart w:id="952" w:name="_Toc98943034"/>
      <w:bookmarkStart w:id="953" w:name="_Toc98944544"/>
      <w:bookmarkStart w:id="954" w:name="_Toc98944624"/>
      <w:bookmarkStart w:id="955" w:name="_Toc98944714"/>
      <w:bookmarkStart w:id="956" w:name="_Toc98944777"/>
      <w:bookmarkStart w:id="957" w:name="_Toc98944832"/>
      <w:bookmarkStart w:id="958" w:name="_Toc98944885"/>
      <w:bookmarkStart w:id="959" w:name="_Toc98944945"/>
      <w:bookmarkStart w:id="960" w:name="_Toc98945012"/>
      <w:bookmarkStart w:id="961" w:name="_Toc98945082"/>
      <w:bookmarkStart w:id="962" w:name="_Toc98945405"/>
      <w:bookmarkStart w:id="963" w:name="_Toc98945492"/>
      <w:bookmarkStart w:id="964" w:name="_Toc98945570"/>
      <w:bookmarkStart w:id="965" w:name="_Toc98945630"/>
      <w:bookmarkStart w:id="966" w:name="_Toc98945726"/>
      <w:bookmarkStart w:id="967" w:name="_Toc98945786"/>
      <w:bookmarkStart w:id="968" w:name="_Toc98945854"/>
      <w:bookmarkStart w:id="969" w:name="_Toc98945944"/>
      <w:bookmarkStart w:id="970" w:name="_Toc98946004"/>
      <w:bookmarkStart w:id="971" w:name="_Toc98946041"/>
      <w:bookmarkStart w:id="972" w:name="_Toc98946603"/>
      <w:bookmarkStart w:id="973" w:name="_Toc98946666"/>
      <w:bookmarkStart w:id="974" w:name="_Toc98946927"/>
      <w:bookmarkStart w:id="975" w:name="_Toc98946987"/>
      <w:bookmarkStart w:id="976" w:name="_Toc98947004"/>
      <w:bookmarkStart w:id="977" w:name="_Toc98947053"/>
      <w:bookmarkStart w:id="978" w:name="_Toc98947119"/>
      <w:bookmarkStart w:id="979" w:name="_Toc98947155"/>
      <w:bookmarkStart w:id="980" w:name="_Toc98947194"/>
      <w:bookmarkStart w:id="981" w:name="_Toc98947309"/>
      <w:bookmarkStart w:id="982" w:name="_Toc98947323"/>
      <w:bookmarkStart w:id="983" w:name="_Toc98947394"/>
      <w:bookmarkStart w:id="984" w:name="_Toc98947471"/>
      <w:bookmarkStart w:id="985" w:name="_Toc98947531"/>
      <w:bookmarkStart w:id="986" w:name="_Toc98947705"/>
      <w:bookmarkStart w:id="987" w:name="_Toc98947787"/>
      <w:bookmarkStart w:id="988" w:name="_Toc98947852"/>
      <w:bookmarkStart w:id="989" w:name="_Toc98947931"/>
      <w:bookmarkStart w:id="990" w:name="_Toc98947940"/>
      <w:bookmarkStart w:id="991" w:name="_Toc98948018"/>
      <w:bookmarkStart w:id="992" w:name="_Toc98948106"/>
      <w:bookmarkStart w:id="993" w:name="_Toc98948204"/>
      <w:bookmarkStart w:id="994" w:name="_Toc98948340"/>
      <w:bookmarkStart w:id="995" w:name="_Toc98948392"/>
      <w:bookmarkStart w:id="996" w:name="_Toc98948501"/>
      <w:bookmarkStart w:id="997" w:name="_Toc98948596"/>
      <w:bookmarkStart w:id="998" w:name="_Toc98948602"/>
      <w:bookmarkStart w:id="999" w:name="_Toc98949245"/>
      <w:bookmarkStart w:id="1000" w:name="_Toc98949310"/>
      <w:bookmarkStart w:id="1001" w:name="_Toc98949381"/>
      <w:bookmarkStart w:id="1002" w:name="_Toc98949475"/>
      <w:bookmarkStart w:id="1003" w:name="_Toc98949554"/>
      <w:bookmarkStart w:id="1004" w:name="_Toc98949634"/>
      <w:bookmarkStart w:id="1005" w:name="_Toc98949694"/>
      <w:bookmarkStart w:id="1006" w:name="_Toc98949761"/>
      <w:bookmarkStart w:id="1007" w:name="_Toc98949880"/>
      <w:bookmarkStart w:id="1008" w:name="_Toc98950022"/>
      <w:bookmarkStart w:id="1009" w:name="_Toc98950154"/>
      <w:bookmarkStart w:id="1010" w:name="_Toc98950242"/>
      <w:bookmarkStart w:id="1011" w:name="_Toc98950302"/>
      <w:bookmarkStart w:id="1012" w:name="_Toc98950397"/>
      <w:bookmarkStart w:id="1013" w:name="_Toc98950443"/>
      <w:bookmarkStart w:id="1014" w:name="_Toc98950459"/>
      <w:bookmarkStart w:id="1015" w:name="_Toc98950554"/>
      <w:bookmarkStart w:id="1016" w:name="_Toc98950614"/>
      <w:bookmarkStart w:id="1017" w:name="_Toc98950620"/>
      <w:bookmarkStart w:id="1018" w:name="_Toc98950640"/>
      <w:bookmarkStart w:id="1019" w:name="_Toc98950646"/>
      <w:bookmarkStart w:id="1020" w:name="_Toc98950652"/>
      <w:bookmarkStart w:id="1021" w:name="_Toc98950667"/>
      <w:bookmarkStart w:id="1022" w:name="_Toc98950672"/>
      <w:bookmarkStart w:id="1023" w:name="_Toc98950677"/>
      <w:bookmarkStart w:id="1024" w:name="_Toc98950722"/>
      <w:bookmarkStart w:id="1025" w:name="_Toc98951193"/>
      <w:bookmarkStart w:id="1026" w:name="_Toc98951313"/>
      <w:bookmarkStart w:id="1027" w:name="_Toc98951435"/>
      <w:bookmarkStart w:id="1028" w:name="_Toc98951661"/>
      <w:bookmarkStart w:id="1029" w:name="_Toc98951767"/>
      <w:bookmarkStart w:id="1030" w:name="_Toc98951780"/>
      <w:bookmarkStart w:id="1031" w:name="_Toc98951804"/>
      <w:bookmarkStart w:id="1032" w:name="_Toc98951902"/>
      <w:bookmarkStart w:id="1033" w:name="_Toc98952006"/>
      <w:bookmarkStart w:id="1034" w:name="_Toc98952118"/>
      <w:bookmarkStart w:id="1035" w:name="_Toc98952186"/>
      <w:bookmarkStart w:id="1036" w:name="_Toc98952239"/>
      <w:bookmarkStart w:id="1037" w:name="_Toc98953548"/>
      <w:bookmarkStart w:id="1038" w:name="_Toc99003349"/>
      <w:bookmarkStart w:id="1039" w:name="_Toc99003402"/>
      <w:bookmarkStart w:id="1040" w:name="_Toc99003489"/>
      <w:bookmarkStart w:id="1041" w:name="_Toc99003552"/>
      <w:bookmarkStart w:id="1042" w:name="_Toc99003652"/>
      <w:bookmarkStart w:id="1043" w:name="_Toc99003714"/>
      <w:bookmarkStart w:id="1044" w:name="_Toc99003782"/>
      <w:bookmarkStart w:id="1045" w:name="_Toc99003844"/>
      <w:bookmarkStart w:id="1046" w:name="_Toc99004024"/>
      <w:bookmarkStart w:id="1047" w:name="_Toc99004101"/>
      <w:bookmarkStart w:id="1048" w:name="_Toc99004183"/>
      <w:bookmarkStart w:id="1049" w:name="_Toc99004246"/>
      <w:bookmarkStart w:id="1050" w:name="_Toc99004302"/>
      <w:bookmarkStart w:id="1051" w:name="_Toc99004307"/>
      <w:bookmarkStart w:id="1052" w:name="_Toc99004376"/>
      <w:bookmarkStart w:id="1053" w:name="_Toc99004437"/>
      <w:bookmarkStart w:id="1054" w:name="_Toc99004497"/>
      <w:bookmarkStart w:id="1055" w:name="_Toc99004557"/>
      <w:bookmarkStart w:id="1056" w:name="_Toc99004620"/>
      <w:bookmarkStart w:id="1057" w:name="_Toc99004750"/>
      <w:bookmarkStart w:id="1058" w:name="_Toc99004812"/>
      <w:bookmarkStart w:id="1059" w:name="_Toc99004876"/>
      <w:bookmarkStart w:id="1060" w:name="_Toc99004953"/>
      <w:bookmarkStart w:id="1061" w:name="_Toc99005041"/>
      <w:bookmarkStart w:id="1062" w:name="_Toc99005087"/>
      <w:bookmarkStart w:id="1063" w:name="_Toc99005116"/>
      <w:bookmarkStart w:id="1064" w:name="_Toc99005190"/>
      <w:bookmarkStart w:id="1065" w:name="_Toc99005292"/>
      <w:bookmarkStart w:id="1066" w:name="_Toc99005568"/>
      <w:bookmarkStart w:id="1067" w:name="_Toc99005630"/>
      <w:bookmarkStart w:id="1068" w:name="_Toc99005691"/>
      <w:bookmarkStart w:id="1069" w:name="_Toc99005811"/>
      <w:bookmarkStart w:id="1070" w:name="_Toc99005876"/>
      <w:bookmarkStart w:id="1071" w:name="_Toc99005923"/>
      <w:bookmarkStart w:id="1072" w:name="_Toc99005947"/>
      <w:bookmarkStart w:id="1073" w:name="_Toc99006013"/>
      <w:bookmarkStart w:id="1074" w:name="_Toc99006042"/>
      <w:bookmarkStart w:id="1075" w:name="_Toc99006073"/>
      <w:bookmarkStart w:id="1076" w:name="_Toc99006132"/>
      <w:bookmarkStart w:id="1077" w:name="_Toc99006212"/>
      <w:bookmarkStart w:id="1078" w:name="_Toc99006278"/>
      <w:bookmarkStart w:id="1079" w:name="_Toc99006375"/>
      <w:bookmarkStart w:id="1080" w:name="_Toc99006440"/>
      <w:bookmarkStart w:id="1081" w:name="_Toc99006514"/>
      <w:bookmarkStart w:id="1082" w:name="_Toc99006529"/>
      <w:bookmarkStart w:id="1083" w:name="_Toc99006576"/>
      <w:bookmarkStart w:id="1084" w:name="_Toc99006681"/>
      <w:bookmarkStart w:id="1085" w:name="_Toc99006728"/>
      <w:bookmarkStart w:id="1086" w:name="_Toc99006799"/>
      <w:bookmarkStart w:id="1087" w:name="_Toc99006859"/>
      <w:bookmarkStart w:id="1088" w:name="_Toc99006986"/>
      <w:bookmarkStart w:id="1089" w:name="_Toc99007050"/>
      <w:bookmarkStart w:id="1090" w:name="_Toc99007113"/>
      <w:bookmarkStart w:id="1091" w:name="_Toc99007176"/>
      <w:bookmarkStart w:id="1092" w:name="_Toc99007181"/>
      <w:bookmarkStart w:id="1093" w:name="_Toc99007208"/>
      <w:bookmarkStart w:id="1094" w:name="_Toc99007213"/>
      <w:bookmarkStart w:id="1095" w:name="_Toc99008773"/>
      <w:bookmarkStart w:id="1096" w:name="_Toc99008912"/>
      <w:bookmarkStart w:id="1097" w:name="_Toc99008982"/>
      <w:bookmarkStart w:id="1098" w:name="_Toc99009010"/>
      <w:bookmarkStart w:id="1099" w:name="_Toc99009040"/>
      <w:bookmarkStart w:id="1100" w:name="_Toc99009119"/>
      <w:bookmarkStart w:id="1101" w:name="_Toc99009347"/>
      <w:bookmarkStart w:id="1102" w:name="_Toc99009412"/>
      <w:bookmarkStart w:id="1103" w:name="_Toc99009534"/>
      <w:bookmarkStart w:id="1104" w:name="_Toc99009595"/>
      <w:bookmarkStart w:id="1105" w:name="_Toc99009656"/>
      <w:bookmarkStart w:id="1106" w:name="_Toc99036471"/>
      <w:bookmarkStart w:id="1107" w:name="_Toc99036631"/>
      <w:bookmarkStart w:id="1108" w:name="_Toc99036696"/>
      <w:bookmarkStart w:id="1109" w:name="_Toc99036815"/>
      <w:bookmarkStart w:id="1110" w:name="_Toc99036820"/>
      <w:bookmarkStart w:id="1111" w:name="_Toc712810531"/>
      <w:bookmarkStart w:id="1112" w:name="_Toc712819521"/>
      <w:bookmarkStart w:id="1113" w:name="_Toc712914091"/>
      <w:bookmarkStart w:id="1114" w:name="_Toc712920371"/>
      <w:bookmarkStart w:id="1115" w:name="_Toc712921711"/>
      <w:bookmarkStart w:id="1116" w:name="_Toc712922841"/>
      <w:bookmarkStart w:id="1117" w:name="_Toc712926461"/>
      <w:bookmarkStart w:id="1118" w:name="_Toc712932461"/>
      <w:bookmarkStart w:id="1119" w:name="_Toc712938531"/>
      <w:bookmarkStart w:id="1120" w:name="_Toc712944551"/>
      <w:bookmarkStart w:id="1121" w:name="_Toc712947241"/>
      <w:bookmarkStart w:id="1122" w:name="_Toc712948001"/>
      <w:bookmarkStart w:id="1123" w:name="_Toc712949521"/>
      <w:bookmarkStart w:id="1124" w:name="_Toc712949911"/>
      <w:bookmarkStart w:id="1125" w:name="_Toc712950141"/>
      <w:bookmarkStart w:id="1126" w:name="_Toc715288161"/>
      <w:bookmarkStart w:id="1127" w:name="_Toc715288261"/>
      <w:bookmarkStart w:id="1128" w:name="_Toc715291611"/>
      <w:bookmarkStart w:id="1129" w:name="_Toc715293231"/>
      <w:bookmarkStart w:id="1130" w:name="_Toc715297901"/>
      <w:bookmarkStart w:id="1131" w:name="_Toc715298361"/>
      <w:bookmarkStart w:id="1132" w:name="_Toc715303631"/>
      <w:bookmarkStart w:id="1133" w:name="_Toc715304291"/>
      <w:bookmarkStart w:id="1134" w:name="_Toc715304511"/>
      <w:bookmarkStart w:id="1135" w:name="_Toc715305941"/>
      <w:bookmarkStart w:id="1136" w:name="_Toc715306191"/>
      <w:bookmarkStart w:id="1137" w:name="_Toc715307121"/>
      <w:bookmarkStart w:id="1138" w:name="_Toc715310111"/>
      <w:bookmarkStart w:id="1139" w:name="_Toc715316191"/>
      <w:bookmarkStart w:id="1140" w:name="_Toc715320381"/>
      <w:bookmarkStart w:id="1141" w:name="_Toc715320491"/>
      <w:bookmarkStart w:id="1142" w:name="_Toc715322291"/>
      <w:bookmarkStart w:id="1143" w:name="_Toc715325111"/>
      <w:bookmarkStart w:id="1144" w:name="_Toc715325681"/>
      <w:bookmarkStart w:id="1145" w:name="_Toc715325811"/>
      <w:bookmarkStart w:id="1146" w:name="_Toc715326161"/>
      <w:bookmarkStart w:id="1147" w:name="_Toc715326211"/>
      <w:bookmarkStart w:id="1148" w:name="_Toc715393641"/>
      <w:bookmarkStart w:id="1149" w:name="_Toc715399671"/>
      <w:bookmarkStart w:id="1150" w:name="_Toc715404051"/>
      <w:bookmarkStart w:id="1151" w:name="_Toc715405721"/>
      <w:bookmarkStart w:id="1152" w:name="_Toc715411631"/>
      <w:bookmarkStart w:id="1153" w:name="_Toc715411891"/>
      <w:bookmarkStart w:id="1154" w:name="_Toc715414841"/>
      <w:bookmarkStart w:id="1155" w:name="_Toc715421191"/>
      <w:bookmarkStart w:id="1156" w:name="_Toc715425301"/>
      <w:bookmarkStart w:id="1157" w:name="_Toc715425951"/>
      <w:bookmarkStart w:id="1158" w:name="_Toc715426601"/>
      <w:bookmarkStart w:id="1159" w:name="_Toc715427181"/>
      <w:bookmarkStart w:id="1160" w:name="_Toc715427261"/>
      <w:bookmarkStart w:id="1161" w:name="_Toc715427821"/>
      <w:bookmarkStart w:id="1162" w:name="_Toc715476531"/>
      <w:bookmarkStart w:id="1163" w:name="_Toc715477671"/>
      <w:bookmarkStart w:id="1164" w:name="_Toc715484031"/>
      <w:bookmarkStart w:id="1165" w:name="_Toc715484171"/>
      <w:bookmarkStart w:id="1166" w:name="_Toc715484321"/>
      <w:bookmarkStart w:id="1167" w:name="_Toc715498951"/>
      <w:bookmarkStart w:id="1168" w:name="_Toc715502701"/>
      <w:bookmarkStart w:id="1169" w:name="_Toc715502771"/>
      <w:bookmarkStart w:id="1170" w:name="_Toc715504511"/>
      <w:bookmarkStart w:id="1171" w:name="_Toc715507311"/>
      <w:bookmarkStart w:id="1172" w:name="_Toc715508881"/>
      <w:bookmarkStart w:id="1173" w:name="_Toc715515771"/>
      <w:bookmarkStart w:id="1174" w:name="_Toc715517601"/>
      <w:bookmarkStart w:id="1175" w:name="_Toc715517671"/>
      <w:bookmarkStart w:id="1176" w:name="_Toc715519161"/>
      <w:bookmarkStart w:id="1177" w:name="_Toc715519181"/>
      <w:bookmarkStart w:id="1178" w:name="_Toc715522101"/>
      <w:bookmarkStart w:id="1179" w:name="_Toc715523901"/>
      <w:bookmarkStart w:id="1180" w:name="_Toc715528241"/>
      <w:bookmarkStart w:id="1181" w:name="_Toc715529721"/>
      <w:bookmarkStart w:id="1182" w:name="_Toc715530701"/>
      <w:bookmarkStart w:id="1183" w:name="_Toc715531561"/>
      <w:bookmarkStart w:id="1184" w:name="_Toc715531691"/>
      <w:bookmarkStart w:id="1185" w:name="_Toc715536781"/>
      <w:bookmarkStart w:id="1186" w:name="_Toc715538761"/>
      <w:bookmarkStart w:id="1187" w:name="_Toc715540821"/>
      <w:bookmarkStart w:id="1188" w:name="_Toc715541101"/>
      <w:bookmarkStart w:id="1189" w:name="_Toc715541221"/>
      <w:bookmarkStart w:id="1190" w:name="_Toc715541621"/>
      <w:bookmarkStart w:id="1191" w:name="_Toc715554291"/>
      <w:bookmarkStart w:id="1192" w:name="_Toc715559581"/>
      <w:bookmarkStart w:id="1193" w:name="_Toc715561491"/>
      <w:bookmarkStart w:id="1194" w:name="_Toc715567511"/>
      <w:bookmarkStart w:id="1195" w:name="_Toc715573811"/>
      <w:bookmarkStart w:id="1196" w:name="_Toc715576251"/>
      <w:bookmarkStart w:id="1197" w:name="_Toc715579891"/>
      <w:bookmarkStart w:id="1198" w:name="_Toc715582581"/>
      <w:bookmarkStart w:id="1199" w:name="_Toc715583711"/>
      <w:bookmarkStart w:id="1200" w:name="_Toc715585011"/>
      <w:bookmarkStart w:id="1201" w:name="_Toc715586361"/>
      <w:bookmarkStart w:id="1202" w:name="_Toc715587241"/>
      <w:bookmarkStart w:id="1203" w:name="_Toc715593151"/>
      <w:bookmarkStart w:id="1204" w:name="_Toc715593661"/>
      <w:bookmarkStart w:id="1205" w:name="_Toc715593871"/>
      <w:bookmarkStart w:id="1206" w:name="_Toc715593911"/>
      <w:bookmarkStart w:id="1207" w:name="_Toc715593961"/>
      <w:bookmarkStart w:id="1208" w:name="_Toc715595211"/>
      <w:bookmarkStart w:id="1209" w:name="_Toc715595691"/>
      <w:bookmarkStart w:id="1210" w:name="_Toc715595741"/>
      <w:bookmarkStart w:id="1211" w:name="_Toc715595771"/>
      <w:bookmarkStart w:id="1212" w:name="_Toc715596291"/>
      <w:bookmarkStart w:id="1213" w:name="_Toc715596651"/>
      <w:bookmarkStart w:id="1214" w:name="_Toc715597071"/>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rPr/>
        <w:t>Schedule C: Payment Terms</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pPr>
        <w:pStyle w:val="Text"/>
        <w:rPr/>
      </w:pPr>
      <w:r>
        <w:rPr/>
      </w:r>
    </w:p>
    <w:p>
      <w:pPr>
        <w:pStyle w:val="Text"/>
        <w:rPr/>
      </w:pPr>
      <w:r>
        <w:rPr/>
        <w:t xml:space="preserve">The Parties agree on the following payment terms:  </w:t>
      </w:r>
    </w:p>
    <w:p>
      <w:pPr>
        <w:pStyle w:val="AText"/>
        <w:numPr>
          <w:ilvl w:val="4"/>
          <w:numId w:val="45"/>
        </w:numPr>
        <w:rPr/>
      </w:pPr>
      <w:r>
        <w:rPr/>
        <w:t>Payment shall be made by Distributor after date of invoice in advance for coming 6 months</w:t>
      </w:r>
    </w:p>
    <w:p>
      <w:pPr>
        <w:pStyle w:val="AText"/>
        <w:numPr>
          <w:ilvl w:val="4"/>
          <w:numId w:val="46"/>
        </w:numPr>
        <w:rPr/>
      </w:pPr>
      <w:r>
        <w:rPr/>
        <w:t xml:space="preserve">Anandic can ask for pre-payment at the beginning of the cooperation, for specific purchase orders (for example tenders etc.), or in case of payment delays by the distributor.  </w:t>
      </w:r>
    </w:p>
    <w:p>
      <w:pPr>
        <w:pStyle w:val="AText"/>
        <w:numPr>
          <w:ilvl w:val="4"/>
          <w:numId w:val="47"/>
        </w:numPr>
        <w:rPr/>
      </w:pPr>
      <w:r>
        <w:rPr/>
        <w:t xml:space="preserve">Payments shall be made in EUR </w:t>
      </w:r>
    </w:p>
    <w:p>
      <w:pPr>
        <w:pStyle w:val="Text"/>
        <w:rPr/>
      </w:pPr>
      <w:r>
        <w:rPr/>
      </w:r>
    </w:p>
    <w:p>
      <w:pPr>
        <w:pStyle w:val="Titleschedule"/>
        <w:rPr/>
      </w:pPr>
      <w:r>
        <w:rPr/>
      </w:r>
      <w:bookmarkStart w:id="1215" w:name="_Toc98948597"/>
      <w:bookmarkStart w:id="1216" w:name="_Toc98948603"/>
      <w:bookmarkStart w:id="1217" w:name="_Toc98949246"/>
      <w:bookmarkStart w:id="1218" w:name="_Toc98949311"/>
      <w:bookmarkStart w:id="1219" w:name="_Toc98949382"/>
      <w:bookmarkStart w:id="1220" w:name="_Toc98949476"/>
      <w:bookmarkStart w:id="1221" w:name="_Toc98949555"/>
      <w:bookmarkStart w:id="1222" w:name="_Toc98949635"/>
      <w:bookmarkStart w:id="1223" w:name="_Toc98949695"/>
      <w:bookmarkStart w:id="1224" w:name="_Toc98949762"/>
      <w:bookmarkStart w:id="1225" w:name="_Toc98949881"/>
      <w:bookmarkStart w:id="1226" w:name="_Toc98950023"/>
      <w:bookmarkStart w:id="1227" w:name="_Toc98950155"/>
      <w:bookmarkStart w:id="1228" w:name="_Toc98950243"/>
      <w:bookmarkStart w:id="1229" w:name="_Toc98950303"/>
      <w:bookmarkStart w:id="1230" w:name="_Toc98950398"/>
      <w:bookmarkStart w:id="1231" w:name="_Toc98950444"/>
      <w:bookmarkStart w:id="1232" w:name="_Toc98950460"/>
      <w:bookmarkStart w:id="1233" w:name="_Toc98950555"/>
      <w:bookmarkStart w:id="1234" w:name="_Toc98950615"/>
      <w:bookmarkStart w:id="1235" w:name="_Toc98950621"/>
      <w:bookmarkStart w:id="1236" w:name="_Toc98950641"/>
      <w:bookmarkStart w:id="1237" w:name="_Toc98950647"/>
      <w:bookmarkStart w:id="1238" w:name="_Toc98950653"/>
      <w:bookmarkStart w:id="1239" w:name="_Toc98950668"/>
      <w:bookmarkStart w:id="1240" w:name="_Toc98950673"/>
      <w:bookmarkStart w:id="1241" w:name="_Toc98950678"/>
      <w:bookmarkStart w:id="1242" w:name="_Toc98950723"/>
      <w:bookmarkStart w:id="1243" w:name="_Toc98951194"/>
      <w:bookmarkStart w:id="1244" w:name="_Toc98951314"/>
      <w:bookmarkStart w:id="1245" w:name="_Toc98951436"/>
      <w:bookmarkStart w:id="1246" w:name="_Toc98951662"/>
      <w:bookmarkStart w:id="1247" w:name="_Toc98951768"/>
      <w:bookmarkStart w:id="1248" w:name="_Toc98951781"/>
      <w:bookmarkStart w:id="1249" w:name="_Toc98951805"/>
      <w:bookmarkStart w:id="1250" w:name="_Toc98951903"/>
      <w:bookmarkStart w:id="1251" w:name="_Toc98952007"/>
      <w:bookmarkStart w:id="1252" w:name="_Toc98952119"/>
      <w:bookmarkStart w:id="1253" w:name="_Toc98952187"/>
      <w:bookmarkStart w:id="1254" w:name="_Toc98952240"/>
      <w:bookmarkStart w:id="1255" w:name="_Toc98953549"/>
      <w:bookmarkStart w:id="1256" w:name="_Toc99003350"/>
      <w:bookmarkStart w:id="1257" w:name="_Toc99003403"/>
      <w:bookmarkStart w:id="1258" w:name="_Toc99003490"/>
      <w:bookmarkStart w:id="1259" w:name="_Toc99003553"/>
      <w:bookmarkStart w:id="1260" w:name="_Toc99003653"/>
      <w:bookmarkStart w:id="1261" w:name="_Toc99003715"/>
      <w:bookmarkStart w:id="1262" w:name="_Toc99003783"/>
      <w:bookmarkStart w:id="1263" w:name="_Toc99003845"/>
      <w:bookmarkStart w:id="1264" w:name="_Toc99004025"/>
      <w:bookmarkStart w:id="1265" w:name="_Toc99004102"/>
      <w:bookmarkStart w:id="1266" w:name="_Toc99004184"/>
      <w:bookmarkStart w:id="1267" w:name="_Toc99004247"/>
      <w:bookmarkStart w:id="1268" w:name="_Toc99004303"/>
      <w:bookmarkStart w:id="1269" w:name="_Toc99004308"/>
      <w:bookmarkStart w:id="1270" w:name="_Toc99004377"/>
      <w:bookmarkStart w:id="1271" w:name="_Toc99004438"/>
      <w:bookmarkStart w:id="1272" w:name="_Toc99004498"/>
      <w:bookmarkStart w:id="1273" w:name="_Toc99004558"/>
      <w:bookmarkStart w:id="1274" w:name="_Toc99004621"/>
      <w:bookmarkStart w:id="1275" w:name="_Toc99004751"/>
      <w:bookmarkStart w:id="1276" w:name="_Toc99004813"/>
      <w:bookmarkStart w:id="1277" w:name="_Toc99004877"/>
      <w:bookmarkStart w:id="1278" w:name="_Toc99004954"/>
      <w:bookmarkStart w:id="1279" w:name="_Toc99005042"/>
      <w:bookmarkStart w:id="1280" w:name="_Toc99005088"/>
      <w:bookmarkStart w:id="1281" w:name="_Toc99005117"/>
      <w:bookmarkStart w:id="1282" w:name="_Toc99005191"/>
      <w:bookmarkStart w:id="1283" w:name="_Toc99005293"/>
      <w:bookmarkStart w:id="1284" w:name="_Toc99005569"/>
      <w:bookmarkStart w:id="1285" w:name="_Toc99005631"/>
      <w:bookmarkStart w:id="1286" w:name="_Toc99005692"/>
      <w:bookmarkStart w:id="1287" w:name="_Toc99005812"/>
      <w:bookmarkStart w:id="1288" w:name="_Toc99005877"/>
      <w:bookmarkStart w:id="1289" w:name="_Toc99005924"/>
      <w:bookmarkStart w:id="1290" w:name="_Toc99005948"/>
      <w:bookmarkStart w:id="1291" w:name="_Toc99006014"/>
      <w:bookmarkStart w:id="1292" w:name="_Toc99006043"/>
      <w:bookmarkStart w:id="1293" w:name="_Toc99006074"/>
      <w:bookmarkStart w:id="1294" w:name="_Toc99006133"/>
      <w:bookmarkStart w:id="1295" w:name="_Toc99006213"/>
      <w:bookmarkStart w:id="1296" w:name="_Toc99006279"/>
      <w:bookmarkStart w:id="1297" w:name="_Toc99006376"/>
      <w:bookmarkStart w:id="1298" w:name="_Toc99006441"/>
      <w:bookmarkStart w:id="1299" w:name="_Toc99006515"/>
      <w:bookmarkStart w:id="1300" w:name="_Toc99006530"/>
      <w:bookmarkStart w:id="1301" w:name="_Toc99006577"/>
      <w:bookmarkStart w:id="1302" w:name="_Toc99006682"/>
      <w:bookmarkStart w:id="1303" w:name="_Toc99006729"/>
      <w:bookmarkStart w:id="1304" w:name="_Toc99006800"/>
      <w:bookmarkStart w:id="1305" w:name="_Toc99006860"/>
      <w:bookmarkStart w:id="1306" w:name="_Toc99006987"/>
      <w:bookmarkStart w:id="1307" w:name="_Toc99007051"/>
      <w:bookmarkStart w:id="1308" w:name="_Toc99007114"/>
      <w:bookmarkStart w:id="1309" w:name="_Toc99007177"/>
      <w:bookmarkStart w:id="1310" w:name="_Toc99007182"/>
      <w:bookmarkStart w:id="1311" w:name="_Toc99007209"/>
      <w:bookmarkStart w:id="1312" w:name="_Toc99007214"/>
      <w:bookmarkStart w:id="1313" w:name="_Toc99008774"/>
      <w:bookmarkStart w:id="1314" w:name="_Toc99008913"/>
      <w:bookmarkStart w:id="1315" w:name="_Toc99008983"/>
      <w:bookmarkStart w:id="1316" w:name="_Toc99009011"/>
      <w:bookmarkStart w:id="1317" w:name="_Toc99009041"/>
      <w:bookmarkStart w:id="1318" w:name="_Toc99009120"/>
      <w:bookmarkStart w:id="1319" w:name="_Toc99009348"/>
      <w:bookmarkStart w:id="1320" w:name="_Toc99009413"/>
      <w:bookmarkStart w:id="1321" w:name="_Toc99009535"/>
      <w:bookmarkStart w:id="1322" w:name="_Toc99009596"/>
      <w:bookmarkStart w:id="1323" w:name="_Toc99009657"/>
      <w:bookmarkStart w:id="1324" w:name="_Toc99036472"/>
      <w:bookmarkStart w:id="1325" w:name="_Toc99036632"/>
      <w:bookmarkStart w:id="1326" w:name="_Toc99036697"/>
      <w:bookmarkStart w:id="1327" w:name="_Toc99036816"/>
      <w:bookmarkStart w:id="1328" w:name="_Toc99036821"/>
      <w:bookmarkStart w:id="1329" w:name="_Toc98948597"/>
      <w:bookmarkStart w:id="1330" w:name="_Toc98948603"/>
      <w:bookmarkStart w:id="1331" w:name="_Toc98949246"/>
      <w:bookmarkStart w:id="1332" w:name="_Toc98949311"/>
      <w:bookmarkStart w:id="1333" w:name="_Toc98949382"/>
      <w:bookmarkStart w:id="1334" w:name="_Toc98949476"/>
      <w:bookmarkStart w:id="1335" w:name="_Toc98949555"/>
      <w:bookmarkStart w:id="1336" w:name="_Toc98949635"/>
      <w:bookmarkStart w:id="1337" w:name="_Toc98949695"/>
      <w:bookmarkStart w:id="1338" w:name="_Toc98949762"/>
      <w:bookmarkStart w:id="1339" w:name="_Toc98949881"/>
      <w:bookmarkStart w:id="1340" w:name="_Toc98950023"/>
      <w:bookmarkStart w:id="1341" w:name="_Toc98950155"/>
      <w:bookmarkStart w:id="1342" w:name="_Toc98950243"/>
      <w:bookmarkStart w:id="1343" w:name="_Toc98950303"/>
      <w:bookmarkStart w:id="1344" w:name="_Toc98950398"/>
      <w:bookmarkStart w:id="1345" w:name="_Toc98950444"/>
      <w:bookmarkStart w:id="1346" w:name="_Toc98950460"/>
      <w:bookmarkStart w:id="1347" w:name="_Toc98950555"/>
      <w:bookmarkStart w:id="1348" w:name="_Toc98950615"/>
      <w:bookmarkStart w:id="1349" w:name="_Toc98950621"/>
      <w:bookmarkStart w:id="1350" w:name="_Toc98950641"/>
      <w:bookmarkStart w:id="1351" w:name="_Toc98950647"/>
      <w:bookmarkStart w:id="1352" w:name="_Toc98950653"/>
      <w:bookmarkStart w:id="1353" w:name="_Toc98950668"/>
      <w:bookmarkStart w:id="1354" w:name="_Toc98950673"/>
      <w:bookmarkStart w:id="1355" w:name="_Toc98950678"/>
      <w:bookmarkStart w:id="1356" w:name="_Toc98950723"/>
      <w:bookmarkStart w:id="1357" w:name="_Toc98951194"/>
      <w:bookmarkStart w:id="1358" w:name="_Toc98951314"/>
      <w:bookmarkStart w:id="1359" w:name="_Toc98951436"/>
      <w:bookmarkStart w:id="1360" w:name="_Toc98951662"/>
      <w:bookmarkStart w:id="1361" w:name="_Toc98951768"/>
      <w:bookmarkStart w:id="1362" w:name="_Toc98951781"/>
      <w:bookmarkStart w:id="1363" w:name="_Toc98951805"/>
      <w:bookmarkStart w:id="1364" w:name="_Toc98951903"/>
      <w:bookmarkStart w:id="1365" w:name="_Toc98952007"/>
      <w:bookmarkStart w:id="1366" w:name="_Toc98952119"/>
      <w:bookmarkStart w:id="1367" w:name="_Toc98952187"/>
      <w:bookmarkStart w:id="1368" w:name="_Toc98952240"/>
      <w:bookmarkStart w:id="1369" w:name="_Toc98953549"/>
      <w:bookmarkStart w:id="1370" w:name="_Toc99003350"/>
      <w:bookmarkStart w:id="1371" w:name="_Toc99003403"/>
      <w:bookmarkStart w:id="1372" w:name="_Toc99003490"/>
      <w:bookmarkStart w:id="1373" w:name="_Toc99003553"/>
      <w:bookmarkStart w:id="1374" w:name="_Toc99003653"/>
      <w:bookmarkStart w:id="1375" w:name="_Toc99003715"/>
      <w:bookmarkStart w:id="1376" w:name="_Toc99003783"/>
      <w:bookmarkStart w:id="1377" w:name="_Toc99003845"/>
      <w:bookmarkStart w:id="1378" w:name="_Toc99004025"/>
      <w:bookmarkStart w:id="1379" w:name="_Toc99004102"/>
      <w:bookmarkStart w:id="1380" w:name="_Toc99004184"/>
      <w:bookmarkStart w:id="1381" w:name="_Toc99004247"/>
      <w:bookmarkStart w:id="1382" w:name="_Toc99004303"/>
      <w:bookmarkStart w:id="1383" w:name="_Toc99004308"/>
      <w:bookmarkStart w:id="1384" w:name="_Toc99004377"/>
      <w:bookmarkStart w:id="1385" w:name="_Toc99004438"/>
      <w:bookmarkStart w:id="1386" w:name="_Toc99004498"/>
      <w:bookmarkStart w:id="1387" w:name="_Toc99004558"/>
      <w:bookmarkStart w:id="1388" w:name="_Toc99004621"/>
      <w:bookmarkStart w:id="1389" w:name="_Toc99004751"/>
      <w:bookmarkStart w:id="1390" w:name="_Toc99004813"/>
      <w:bookmarkStart w:id="1391" w:name="_Toc99004877"/>
      <w:bookmarkStart w:id="1392" w:name="_Toc99004954"/>
      <w:bookmarkStart w:id="1393" w:name="_Toc99005042"/>
      <w:bookmarkStart w:id="1394" w:name="_Toc99005088"/>
      <w:bookmarkStart w:id="1395" w:name="_Toc99005117"/>
      <w:bookmarkStart w:id="1396" w:name="_Toc99005191"/>
      <w:bookmarkStart w:id="1397" w:name="_Toc99005293"/>
      <w:bookmarkStart w:id="1398" w:name="_Toc99005569"/>
      <w:bookmarkStart w:id="1399" w:name="_Toc99005631"/>
      <w:bookmarkStart w:id="1400" w:name="_Toc99005692"/>
      <w:bookmarkStart w:id="1401" w:name="_Toc99005812"/>
      <w:bookmarkStart w:id="1402" w:name="_Toc99005877"/>
      <w:bookmarkStart w:id="1403" w:name="_Toc99005924"/>
      <w:bookmarkStart w:id="1404" w:name="_Toc99005948"/>
      <w:bookmarkStart w:id="1405" w:name="_Toc99006014"/>
      <w:bookmarkStart w:id="1406" w:name="_Toc99006043"/>
      <w:bookmarkStart w:id="1407" w:name="_Toc99006074"/>
      <w:bookmarkStart w:id="1408" w:name="_Toc99006133"/>
      <w:bookmarkStart w:id="1409" w:name="_Toc99006213"/>
      <w:bookmarkStart w:id="1410" w:name="_Toc99006279"/>
      <w:bookmarkStart w:id="1411" w:name="_Toc99006376"/>
      <w:bookmarkStart w:id="1412" w:name="_Toc99006441"/>
      <w:bookmarkStart w:id="1413" w:name="_Toc99006515"/>
      <w:bookmarkStart w:id="1414" w:name="_Toc99006530"/>
      <w:bookmarkStart w:id="1415" w:name="_Toc99006577"/>
      <w:bookmarkStart w:id="1416" w:name="_Toc99006682"/>
      <w:bookmarkStart w:id="1417" w:name="_Toc99006729"/>
      <w:bookmarkStart w:id="1418" w:name="_Toc99006800"/>
      <w:bookmarkStart w:id="1419" w:name="_Toc99006860"/>
      <w:bookmarkStart w:id="1420" w:name="_Toc99006987"/>
      <w:bookmarkStart w:id="1421" w:name="_Toc99007051"/>
      <w:bookmarkStart w:id="1422" w:name="_Toc99007114"/>
      <w:bookmarkStart w:id="1423" w:name="_Toc99007177"/>
      <w:bookmarkStart w:id="1424" w:name="_Toc99007182"/>
      <w:bookmarkStart w:id="1425" w:name="_Toc99007209"/>
      <w:bookmarkStart w:id="1426" w:name="_Toc99007214"/>
      <w:bookmarkStart w:id="1427" w:name="_Toc99008774"/>
      <w:bookmarkStart w:id="1428" w:name="_Toc99008913"/>
      <w:bookmarkStart w:id="1429" w:name="_Toc99008983"/>
      <w:bookmarkStart w:id="1430" w:name="_Toc99009011"/>
      <w:bookmarkStart w:id="1431" w:name="_Toc99009041"/>
      <w:bookmarkStart w:id="1432" w:name="_Toc99009120"/>
      <w:bookmarkStart w:id="1433" w:name="_Toc99009348"/>
      <w:bookmarkStart w:id="1434" w:name="_Toc99009413"/>
      <w:bookmarkStart w:id="1435" w:name="_Toc99009535"/>
      <w:bookmarkStart w:id="1436" w:name="_Toc99009596"/>
      <w:bookmarkStart w:id="1437" w:name="_Toc99009657"/>
      <w:bookmarkStart w:id="1438" w:name="_Toc99036472"/>
      <w:bookmarkStart w:id="1439" w:name="_Toc99036632"/>
      <w:bookmarkStart w:id="1440" w:name="_Toc99036697"/>
      <w:bookmarkStart w:id="1441" w:name="_Toc99036816"/>
      <w:bookmarkStart w:id="1442" w:name="_Toc99036821"/>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b w:val="false"/>
          <w:b w:val="false"/>
          <w:bCs/>
        </w:rPr>
      </w:pPr>
      <w:bookmarkStart w:id="1443" w:name="_Toc71561172"/>
      <w:bookmarkStart w:id="1444" w:name="_Toc71561183"/>
      <w:bookmarkStart w:id="1445" w:name="_Toc71561189"/>
      <w:bookmarkStart w:id="1446" w:name="_Toc71561249"/>
      <w:bookmarkStart w:id="1447" w:name="_Toc71561280"/>
      <w:bookmarkStart w:id="1448" w:name="_Toc71561309"/>
      <w:bookmarkStart w:id="1449" w:name="_Toc71563987"/>
      <w:bookmarkStart w:id="1450" w:name="_Toc71563999"/>
      <w:bookmarkStart w:id="1451" w:name="_Toc71564049"/>
      <w:bookmarkStart w:id="1452" w:name="_Toc71564169"/>
      <w:bookmarkStart w:id="1453" w:name="_Toc71564618"/>
      <w:bookmarkStart w:id="1454" w:name="_Toc71564709"/>
      <w:bookmarkStart w:id="1455" w:name="_Toc71565859"/>
      <w:bookmarkStart w:id="1456" w:name="_Toc71566958"/>
      <w:bookmarkStart w:id="1457" w:name="_Toc71567054"/>
      <w:bookmarkStart w:id="1458" w:name="_Toc71567079"/>
      <w:bookmarkStart w:id="1459" w:name="_Toc71567106"/>
      <w:bookmarkStart w:id="1460" w:name="_Toc71567166"/>
      <w:bookmarkStart w:id="1461" w:name="_Toc71567222"/>
      <w:bookmarkStart w:id="1462" w:name="_Toc71567363"/>
      <w:bookmarkStart w:id="1463" w:name="_Toc71567555"/>
      <w:bookmarkStart w:id="1464" w:name="_Toc71567619"/>
      <w:bookmarkStart w:id="1465" w:name="_Toc71567753"/>
      <w:bookmarkStart w:id="1466" w:name="_Toc71567944"/>
      <w:bookmarkStart w:id="1467" w:name="_Toc71567951"/>
      <w:bookmarkStart w:id="1468" w:name="_Toc71567984"/>
      <w:bookmarkStart w:id="1469" w:name="_Toc71568019"/>
      <w:bookmarkStart w:id="1470" w:name="_Toc71568046"/>
      <w:bookmarkStart w:id="1471" w:name="_Toc71568076"/>
      <w:bookmarkStart w:id="1472" w:name="_Toc71568101"/>
      <w:bookmarkStart w:id="1473" w:name="_Toc71568106"/>
      <w:bookmarkStart w:id="1474" w:name="_Toc71568159"/>
      <w:bookmarkStart w:id="1475" w:name="_Toc71568266"/>
      <w:bookmarkStart w:id="1476" w:name="_Toc71568275"/>
      <w:bookmarkStart w:id="1477" w:name="_Toc71568346"/>
      <w:bookmarkStart w:id="1478" w:name="_Toc71568374"/>
      <w:bookmarkStart w:id="1479" w:name="_Toc71568410"/>
      <w:bookmarkStart w:id="1480" w:name="_Toc71568426"/>
      <w:bookmarkStart w:id="1481" w:name="_Toc71568439"/>
      <w:bookmarkStart w:id="1482" w:name="_Toc71568472"/>
      <w:bookmarkStart w:id="1483" w:name="_Toc71568484"/>
      <w:bookmarkStart w:id="1484" w:name="_Toc71568787"/>
      <w:bookmarkStart w:id="1485" w:name="_Toc71568893"/>
      <w:bookmarkStart w:id="1486" w:name="_Toc71568926"/>
      <w:bookmarkStart w:id="1487" w:name="_Toc71568983"/>
      <w:bookmarkStart w:id="1488" w:name="_Toc71569239"/>
      <w:bookmarkStart w:id="1489" w:name="_Toc71569457"/>
      <w:bookmarkStart w:id="1490" w:name="_Toc71569582"/>
      <w:bookmarkStart w:id="1491" w:name="_Toc71569588"/>
      <w:bookmarkStart w:id="1492" w:name="_Toc71569653"/>
      <w:bookmarkStart w:id="1493" w:name="_Toc71569658"/>
      <w:bookmarkStart w:id="1494" w:name="_Toc71569666"/>
      <w:bookmarkStart w:id="1495" w:name="_Toc71569676"/>
      <w:bookmarkStart w:id="1496" w:name="_Toc71569723"/>
      <w:bookmarkStart w:id="1497" w:name="_Toc71569767"/>
      <w:bookmarkStart w:id="1498" w:name="_Toc71569772"/>
      <w:bookmarkStart w:id="1499" w:name="_Toc71569777"/>
      <w:bookmarkStart w:id="1500" w:name="_Toc71569793"/>
      <w:bookmarkStart w:id="1501" w:name="_Toc71570069"/>
      <w:bookmarkStart w:id="1502" w:name="_Toc71570110"/>
      <w:bookmarkStart w:id="1503" w:name="_Toc71570261"/>
      <w:bookmarkStart w:id="1504" w:name="_Toc71570405"/>
      <w:bookmarkStart w:id="1505" w:name="_Toc71570415"/>
      <w:bookmarkStart w:id="1506" w:name="_Toc71700334"/>
      <w:bookmarkStart w:id="1507" w:name="_Toc71700565"/>
      <w:bookmarkStart w:id="1508" w:name="_Toc71700611"/>
      <w:bookmarkStart w:id="1509" w:name="_Toc71700716"/>
      <w:bookmarkStart w:id="1510" w:name="_Toc71700762"/>
      <w:bookmarkStart w:id="1511" w:name="_Toc71700989"/>
      <w:bookmarkStart w:id="1512" w:name="_Toc71701601"/>
      <w:bookmarkStart w:id="1513" w:name="_Toc71702194"/>
      <w:bookmarkStart w:id="1514" w:name="_Toc71702212"/>
      <w:bookmarkStart w:id="1515" w:name="_Toc71702218"/>
      <w:bookmarkStart w:id="1516" w:name="_Toc71708534"/>
      <w:bookmarkStart w:id="1517" w:name="_Toc71709487"/>
      <w:bookmarkStart w:id="1518" w:name="_Toc71709538"/>
      <w:bookmarkStart w:id="1519" w:name="_Toc71709543"/>
      <w:bookmarkStart w:id="1520" w:name="_Toc98779253"/>
      <w:bookmarkStart w:id="1521" w:name="_Toc98779291"/>
      <w:bookmarkStart w:id="1522" w:name="_Toc98779358"/>
      <w:bookmarkStart w:id="1523" w:name="_Toc98779451"/>
      <w:bookmarkStart w:id="1524" w:name="_Toc98779521"/>
      <w:bookmarkStart w:id="1525" w:name="_Toc98779596"/>
      <w:bookmarkStart w:id="1526" w:name="_Toc98779656"/>
      <w:bookmarkStart w:id="1527" w:name="_Toc98779733"/>
      <w:bookmarkStart w:id="1528" w:name="_Toc98779793"/>
      <w:bookmarkStart w:id="1529" w:name="_Toc98779854"/>
      <w:bookmarkStart w:id="1530" w:name="_Toc98779968"/>
      <w:bookmarkStart w:id="1531" w:name="_Toc98780073"/>
      <w:bookmarkStart w:id="1532" w:name="_Toc98780153"/>
      <w:bookmarkStart w:id="1533" w:name="_Toc98780207"/>
      <w:bookmarkStart w:id="1534" w:name="_Toc98780303"/>
      <w:bookmarkStart w:id="1535" w:name="_Toc98780396"/>
      <w:bookmarkStart w:id="1536" w:name="_Toc98780483"/>
      <w:bookmarkStart w:id="1537" w:name="_Toc98780564"/>
      <w:bookmarkStart w:id="1538" w:name="_Toc98780593"/>
      <w:bookmarkStart w:id="1539" w:name="_Toc98780624"/>
      <w:bookmarkStart w:id="1540" w:name="_Toc98780688"/>
      <w:bookmarkStart w:id="1541" w:name="_Toc98780758"/>
      <w:bookmarkStart w:id="1542" w:name="_Toc98780825"/>
      <w:bookmarkStart w:id="1543" w:name="_Toc98780926"/>
      <w:bookmarkStart w:id="1544" w:name="_Toc98780937"/>
      <w:bookmarkStart w:id="1545" w:name="_Toc98780946"/>
      <w:bookmarkStart w:id="1546" w:name="_Toc98831117"/>
      <w:bookmarkStart w:id="1547" w:name="_Toc98831184"/>
      <w:bookmarkStart w:id="1548" w:name="_Toc98831304"/>
      <w:bookmarkStart w:id="1549" w:name="_Toc98831559"/>
      <w:bookmarkStart w:id="1550" w:name="_Toc98831576"/>
      <w:bookmarkStart w:id="1551" w:name="_Toc98831655"/>
      <w:bookmarkStart w:id="1552" w:name="_Toc98831678"/>
      <w:bookmarkStart w:id="1553" w:name="_Toc98831807"/>
      <w:bookmarkStart w:id="1554" w:name="_Toc98831824"/>
      <w:bookmarkStart w:id="1555" w:name="_Toc98831846"/>
      <w:bookmarkStart w:id="1556" w:name="_Toc98831852"/>
      <w:bookmarkStart w:id="1557" w:name="_Toc98831858"/>
      <w:bookmarkStart w:id="1558" w:name="_Toc98831864"/>
      <w:bookmarkStart w:id="1559" w:name="_Toc98937971"/>
      <w:bookmarkStart w:id="1560" w:name="_Toc98941485"/>
      <w:bookmarkStart w:id="1561" w:name="_Toc98941870"/>
      <w:bookmarkStart w:id="1562" w:name="_Toc98941931"/>
      <w:bookmarkStart w:id="1563" w:name="_Toc98942026"/>
      <w:bookmarkStart w:id="1564" w:name="_Toc98942177"/>
      <w:bookmarkStart w:id="1565" w:name="_Toc98942248"/>
      <w:bookmarkStart w:id="1566" w:name="_Toc98942309"/>
      <w:bookmarkStart w:id="1567" w:name="_Toc98942369"/>
      <w:bookmarkStart w:id="1568" w:name="_Toc98942443"/>
      <w:bookmarkStart w:id="1569" w:name="_Toc98942503"/>
      <w:bookmarkStart w:id="1570" w:name="_Toc98942572"/>
      <w:bookmarkStart w:id="1571" w:name="_Toc98942646"/>
      <w:bookmarkStart w:id="1572" w:name="_Toc98942719"/>
      <w:bookmarkStart w:id="1573" w:name="_Toc98942840"/>
      <w:bookmarkStart w:id="1574" w:name="_Toc98942915"/>
      <w:bookmarkStart w:id="1575" w:name="_Toc98943035"/>
      <w:bookmarkStart w:id="1576" w:name="_Toc98944545"/>
      <w:bookmarkStart w:id="1577" w:name="_Toc98944625"/>
      <w:bookmarkStart w:id="1578" w:name="_Toc98944715"/>
      <w:bookmarkStart w:id="1579" w:name="_Toc98944778"/>
      <w:bookmarkStart w:id="1580" w:name="_Toc98944833"/>
      <w:bookmarkStart w:id="1581" w:name="_Toc98944886"/>
      <w:bookmarkStart w:id="1582" w:name="_Toc98944946"/>
      <w:bookmarkStart w:id="1583" w:name="_Toc98945013"/>
      <w:bookmarkStart w:id="1584" w:name="_Toc98945083"/>
      <w:bookmarkStart w:id="1585" w:name="_Toc98945406"/>
      <w:bookmarkStart w:id="1586" w:name="_Toc98945493"/>
      <w:bookmarkStart w:id="1587" w:name="_Toc98945571"/>
      <w:bookmarkStart w:id="1588" w:name="_Toc98945631"/>
      <w:bookmarkStart w:id="1589" w:name="_Toc98945727"/>
      <w:bookmarkStart w:id="1590" w:name="_Toc98945787"/>
      <w:bookmarkStart w:id="1591" w:name="_Toc98945855"/>
      <w:bookmarkStart w:id="1592" w:name="_Toc98945945"/>
      <w:bookmarkStart w:id="1593" w:name="_Toc98946005"/>
      <w:bookmarkStart w:id="1594" w:name="_Toc98946042"/>
      <w:bookmarkStart w:id="1595" w:name="_Toc98946604"/>
      <w:bookmarkStart w:id="1596" w:name="_Toc98946667"/>
      <w:bookmarkStart w:id="1597" w:name="_Toc98946928"/>
      <w:bookmarkStart w:id="1598" w:name="_Toc98946988"/>
      <w:bookmarkStart w:id="1599" w:name="_Toc98947005"/>
      <w:bookmarkStart w:id="1600" w:name="_Toc98947054"/>
      <w:bookmarkStart w:id="1601" w:name="_Toc98947120"/>
      <w:bookmarkStart w:id="1602" w:name="_Toc98947156"/>
      <w:bookmarkStart w:id="1603" w:name="_Toc98947195"/>
      <w:bookmarkStart w:id="1604" w:name="_Toc98947310"/>
      <w:bookmarkStart w:id="1605" w:name="_Toc98947324"/>
      <w:bookmarkStart w:id="1606" w:name="_Toc98947395"/>
      <w:bookmarkStart w:id="1607" w:name="_Toc98947472"/>
      <w:bookmarkStart w:id="1608" w:name="_Toc98947532"/>
      <w:bookmarkStart w:id="1609" w:name="_Toc98947706"/>
      <w:bookmarkStart w:id="1610" w:name="_Toc98947788"/>
      <w:bookmarkStart w:id="1611" w:name="_Toc98947853"/>
      <w:bookmarkStart w:id="1612" w:name="_Toc98947932"/>
      <w:bookmarkStart w:id="1613" w:name="_Toc98947941"/>
      <w:bookmarkStart w:id="1614" w:name="_Toc98948019"/>
      <w:bookmarkStart w:id="1615" w:name="_Toc98948107"/>
      <w:bookmarkStart w:id="1616" w:name="_Toc98948205"/>
      <w:bookmarkStart w:id="1617" w:name="_Toc98948341"/>
      <w:bookmarkStart w:id="1618" w:name="_Toc98948393"/>
      <w:bookmarkStart w:id="1619" w:name="_Toc98948502"/>
      <w:r>
        <w:rPr/>
        <w:t xml:space="preserve">Schedule D: </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r>
        <w:rPr/>
        <w:t>Sales Targets</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r>
        <w:rPr/>
        <w:t xml:space="preserve"> and Forecast </w:t>
      </w:r>
      <w:r>
        <w:rPr>
          <w:b w:val="false"/>
          <w:bCs/>
        </w:rPr>
        <w:t>(in pieces)</w:t>
      </w:r>
    </w:p>
    <w:p>
      <w:pPr>
        <w:pStyle w:val="Text"/>
        <w:rPr/>
      </w:pPr>
      <w:r>
        <w:rPr/>
      </w:r>
    </w:p>
    <w:tbl>
      <w:tblPr>
        <w:tblStyle w:val="TableGrid"/>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1"/>
        <w:gridCol w:w="698"/>
        <w:gridCol w:w="712"/>
        <w:gridCol w:w="711"/>
        <w:gridCol w:w="712"/>
        <w:gridCol w:w="712"/>
        <w:gridCol w:w="712"/>
        <w:gridCol w:w="712"/>
        <w:gridCol w:w="713"/>
        <w:gridCol w:w="713"/>
        <w:gridCol w:w="713"/>
        <w:gridCol w:w="712"/>
        <w:gridCol w:w="712"/>
      </w:tblGrid>
      <w:tr>
        <w:trPr/>
        <w:tc>
          <w:tcPr>
            <w:tcW w:w="811" w:type="dxa"/>
            <w:tcBorders/>
          </w:tcPr>
          <w:p>
            <w:pPr>
              <w:pStyle w:val="Titleschedule"/>
              <w:widowControl w:val="false"/>
              <w:rPr>
                <w:b w:val="false"/>
                <w:b w:val="false"/>
                <w:bCs/>
                <w:sz w:val="20"/>
                <w:szCs w:val="20"/>
              </w:rPr>
            </w:pPr>
            <w:r>
              <w:rPr>
                <w:b w:val="false"/>
                <w:bCs/>
                <w:sz w:val="20"/>
                <w:szCs w:val="20"/>
              </w:rPr>
            </w:r>
          </w:p>
        </w:tc>
        <w:tc>
          <w:tcPr>
            <w:tcW w:w="698" w:type="dxa"/>
            <w:tcBorders/>
          </w:tcPr>
          <w:p>
            <w:pPr>
              <w:pStyle w:val="Normal"/>
              <w:widowControl w:val="false"/>
              <w:spacing w:lineRule="auto" w:line="276" w:before="0" w:after="0"/>
              <w:jc w:val="center"/>
              <w:rPr>
                <w:rFonts w:eastAsia="Times New Roman"/>
                <w:sz w:val="16"/>
                <w:szCs w:val="16"/>
                <w:lang w:val="en-US"/>
              </w:rPr>
            </w:pPr>
            <w:r>
              <w:rPr>
                <w:rFonts w:eastAsia="Times New Roman" w:cs="font292"/>
                <w:kern w:val="0"/>
                <w:sz w:val="16"/>
                <w:szCs w:val="16"/>
                <w:lang w:val="en-US" w:eastAsia="en-US" w:bidi="ar-SA"/>
              </w:rPr>
              <w:t>Month 1</w:t>
            </w:r>
          </w:p>
        </w:tc>
        <w:tc>
          <w:tcPr>
            <w:tcW w:w="712"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2</w:t>
            </w:r>
          </w:p>
        </w:tc>
        <w:tc>
          <w:tcPr>
            <w:tcW w:w="711"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3</w:t>
            </w:r>
          </w:p>
        </w:tc>
        <w:tc>
          <w:tcPr>
            <w:tcW w:w="712"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4</w:t>
            </w:r>
          </w:p>
        </w:tc>
        <w:tc>
          <w:tcPr>
            <w:tcW w:w="712"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5</w:t>
            </w:r>
          </w:p>
        </w:tc>
        <w:tc>
          <w:tcPr>
            <w:tcW w:w="712"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6</w:t>
            </w:r>
          </w:p>
        </w:tc>
        <w:tc>
          <w:tcPr>
            <w:tcW w:w="712"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7</w:t>
            </w:r>
          </w:p>
        </w:tc>
        <w:tc>
          <w:tcPr>
            <w:tcW w:w="713"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8</w:t>
            </w:r>
          </w:p>
        </w:tc>
        <w:tc>
          <w:tcPr>
            <w:tcW w:w="713"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9</w:t>
            </w:r>
          </w:p>
        </w:tc>
        <w:tc>
          <w:tcPr>
            <w:tcW w:w="713"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10</w:t>
            </w:r>
          </w:p>
        </w:tc>
        <w:tc>
          <w:tcPr>
            <w:tcW w:w="712"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11</w:t>
            </w:r>
          </w:p>
        </w:tc>
        <w:tc>
          <w:tcPr>
            <w:tcW w:w="712" w:type="dxa"/>
            <w:tcBorders/>
          </w:tcPr>
          <w:p>
            <w:pPr>
              <w:pStyle w:val="Normal"/>
              <w:widowControl w:val="false"/>
              <w:spacing w:lineRule="auto" w:line="276" w:before="0" w:after="0"/>
              <w:jc w:val="center"/>
              <w:rPr>
                <w:rFonts w:eastAsia="Times New Roman"/>
                <w:lang w:val="en-US"/>
              </w:rPr>
            </w:pPr>
            <w:r>
              <w:rPr>
                <w:rFonts w:eastAsia="Times New Roman" w:cs="font292"/>
                <w:kern w:val="0"/>
                <w:sz w:val="16"/>
                <w:szCs w:val="16"/>
                <w:lang w:val="en-US" w:eastAsia="en-US" w:bidi="ar-SA"/>
              </w:rPr>
              <w:t>Month 12</w:t>
            </w:r>
          </w:p>
        </w:tc>
      </w:tr>
      <w:tr>
        <w:trPr/>
        <w:tc>
          <w:tcPr>
            <w:tcW w:w="811" w:type="dxa"/>
            <w:tcBorders/>
          </w:tcPr>
          <w:p>
            <w:pPr>
              <w:pStyle w:val="Titleschedule"/>
              <w:widowControl w:val="false"/>
              <w:rPr>
                <w:b w:val="false"/>
                <w:b w:val="false"/>
                <w:bCs/>
                <w:sz w:val="20"/>
                <w:szCs w:val="20"/>
              </w:rPr>
            </w:pPr>
            <w:r>
              <w:rPr>
                <w:rFonts w:cs="font292"/>
                <w:b w:val="false"/>
                <w:bCs/>
                <w:kern w:val="0"/>
                <w:sz w:val="20"/>
                <w:szCs w:val="20"/>
                <w:lang w:eastAsia="en-US" w:bidi="ar-SA"/>
              </w:rPr>
              <w:t>MK-01</w:t>
            </w:r>
          </w:p>
        </w:tc>
        <w:tc>
          <w:tcPr>
            <w:tcW w:w="698"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1"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4000</w:t>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4000</w:t>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4000</w:t>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4000</w:t>
            </w:r>
          </w:p>
        </w:tc>
      </w:tr>
      <w:tr>
        <w:trPr/>
        <w:tc>
          <w:tcPr>
            <w:tcW w:w="811" w:type="dxa"/>
            <w:tcBorders/>
          </w:tcPr>
          <w:p>
            <w:pPr>
              <w:pStyle w:val="Titleschedule"/>
              <w:widowControl w:val="false"/>
              <w:rPr>
                <w:b w:val="false"/>
                <w:b w:val="false"/>
                <w:bCs/>
                <w:sz w:val="20"/>
                <w:szCs w:val="20"/>
              </w:rPr>
            </w:pPr>
            <w:r>
              <w:rPr>
                <w:rFonts w:cs="font292"/>
                <w:b w:val="false"/>
                <w:bCs/>
                <w:kern w:val="0"/>
                <w:sz w:val="20"/>
                <w:szCs w:val="20"/>
                <w:lang w:eastAsia="en-US" w:bidi="ar-SA"/>
              </w:rPr>
              <w:t>MK-02</w:t>
            </w:r>
          </w:p>
        </w:tc>
        <w:tc>
          <w:tcPr>
            <w:tcW w:w="698"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200</w:t>
            </w:r>
          </w:p>
        </w:tc>
        <w:tc>
          <w:tcPr>
            <w:tcW w:w="712"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1"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300</w:t>
            </w:r>
          </w:p>
        </w:tc>
      </w:tr>
      <w:tr>
        <w:trPr/>
        <w:tc>
          <w:tcPr>
            <w:tcW w:w="811" w:type="dxa"/>
            <w:tcBorders/>
          </w:tcPr>
          <w:p>
            <w:pPr>
              <w:pStyle w:val="Titleschedule"/>
              <w:widowControl w:val="false"/>
              <w:rPr>
                <w:b w:val="false"/>
                <w:b w:val="false"/>
                <w:bCs/>
                <w:sz w:val="20"/>
                <w:szCs w:val="20"/>
              </w:rPr>
            </w:pPr>
            <w:r>
              <w:rPr>
                <w:rFonts w:cs="font292"/>
                <w:b w:val="false"/>
                <w:bCs/>
                <w:kern w:val="0"/>
                <w:sz w:val="20"/>
                <w:szCs w:val="20"/>
                <w:lang w:eastAsia="en-US" w:bidi="ar-SA"/>
              </w:rPr>
              <w:t>MK-04</w:t>
            </w:r>
          </w:p>
        </w:tc>
        <w:tc>
          <w:tcPr>
            <w:tcW w:w="698"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1" w:type="dxa"/>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3"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c>
          <w:tcPr>
            <w:tcW w:w="712" w:type="dxa"/>
            <w:tcBorders/>
            <w:shd w:color="auto" w:fill="D9D9D9" w:themeFill="background1" w:themeFillShade="d9" w:val="clear"/>
          </w:tcPr>
          <w:p>
            <w:pPr>
              <w:pStyle w:val="Normal"/>
              <w:widowControl w:val="false"/>
              <w:spacing w:lineRule="auto" w:line="276" w:before="0" w:after="0"/>
              <w:jc w:val="both"/>
              <w:rPr>
                <w:rFonts w:eastAsia="Times New Roman"/>
                <w:lang w:val="en-US"/>
              </w:rPr>
            </w:pPr>
            <w:r>
              <w:rPr>
                <w:rFonts w:eastAsia="Times New Roman"/>
                <w:lang w:val="en-US"/>
              </w:rPr>
            </w:r>
          </w:p>
        </w:tc>
      </w:tr>
      <w:tr>
        <w:trPr/>
        <w:tc>
          <w:tcPr>
            <w:tcW w:w="811" w:type="dxa"/>
            <w:tcBorders/>
          </w:tcPr>
          <w:p>
            <w:pPr>
              <w:pStyle w:val="Normal"/>
              <w:widowControl w:val="false"/>
              <w:spacing w:lineRule="auto" w:line="276" w:before="0" w:after="0"/>
              <w:jc w:val="both"/>
              <w:rPr>
                <w:rFonts w:eastAsia="Times New Roman"/>
                <w:lang w:val="en-US"/>
              </w:rPr>
            </w:pPr>
            <w:r>
              <w:rPr>
                <w:rFonts w:eastAsia="Times New Roman"/>
                <w:lang w:val="en-US"/>
              </w:rPr>
            </w:r>
          </w:p>
        </w:tc>
        <w:tc>
          <w:tcPr>
            <w:tcW w:w="2121" w:type="dxa"/>
            <w:gridSpan w:val="3"/>
            <w:tcBorders/>
            <w:shd w:color="auto" w:fill="DBE5F1" w:themeFill="accent1" w:themeFillTint="33" w:val="clear"/>
          </w:tcPr>
          <w:p>
            <w:pPr>
              <w:pStyle w:val="Normal"/>
              <w:widowControl w:val="false"/>
              <w:spacing w:lineRule="auto" w:line="276" w:before="0" w:after="0"/>
              <w:jc w:val="both"/>
              <w:rPr>
                <w:rFonts w:eastAsia="Times New Roman"/>
                <w:lang w:val="en-US"/>
              </w:rPr>
            </w:pPr>
            <w:r>
              <w:rPr>
                <w:rFonts w:eastAsia="Times New Roman" w:cs="font292"/>
                <w:kern w:val="0"/>
                <w:sz w:val="24"/>
                <w:szCs w:val="24"/>
                <w:lang w:val="en-US" w:eastAsia="en-US" w:bidi="ar-SA"/>
              </w:rPr>
              <w:t>Binding Forecast</w:t>
            </w:r>
          </w:p>
        </w:tc>
        <w:tc>
          <w:tcPr>
            <w:tcW w:w="6411" w:type="dxa"/>
            <w:gridSpan w:val="9"/>
            <w:tcBorders/>
            <w:shd w:color="auto" w:fill="D9D9D9" w:themeFill="background1" w:themeFillShade="d9" w:val="clear"/>
          </w:tcPr>
          <w:p>
            <w:pPr>
              <w:pStyle w:val="Normal"/>
              <w:widowControl w:val="false"/>
              <w:spacing w:lineRule="auto" w:line="276" w:before="0" w:after="0"/>
              <w:jc w:val="center"/>
              <w:rPr>
                <w:rFonts w:eastAsia="Times New Roman"/>
                <w:lang w:val="en-US"/>
              </w:rPr>
            </w:pPr>
            <w:r>
              <w:rPr>
                <w:rFonts w:eastAsia="Times New Roman" w:cs="font292"/>
                <w:kern w:val="0"/>
                <w:sz w:val="24"/>
                <w:szCs w:val="24"/>
                <w:lang w:val="en-US" w:eastAsia="en-US" w:bidi="ar-SA"/>
              </w:rPr>
              <w:t>Non-Binding Forecast</w:t>
            </w:r>
          </w:p>
        </w:tc>
      </w:tr>
    </w:tbl>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rPr>
          <w:rFonts w:eastAsia="Times New Roman"/>
          <w:lang w:val="en-US"/>
        </w:rPr>
      </w:pPr>
      <w:r>
        <w:rPr>
          <w:rFonts w:eastAsia="Times New Roman"/>
          <w:lang w:val="en-US"/>
        </w:rPr>
        <w:t>Targets to be agreed upon after 12 months for the next 3 years. </w:t>
      </w:r>
    </w:p>
    <w:p>
      <w:pPr>
        <w:pStyle w:val="Normal"/>
        <w:spacing w:lineRule="auto" w:line="276"/>
        <w:rPr>
          <w:rFonts w:eastAsia="Times New Roman"/>
          <w:lang w:val="en-US"/>
        </w:rPr>
      </w:pPr>
      <w:r>
        <w:rPr>
          <w:rFonts w:eastAsia="Times New Roman"/>
          <w:lang w:val="en-US"/>
        </w:rPr>
        <w:t>We will discuss the sales targets in second year after the introduction of the sensors</w:t>
      </w:r>
    </w:p>
    <w:p>
      <w:pPr>
        <w:pStyle w:val="Normal"/>
        <w:spacing w:lineRule="auto" w:line="276"/>
        <w:rPr>
          <w:rFonts w:eastAsia="Times New Roman"/>
          <w:lang w:val="en-US"/>
        </w:rPr>
      </w:pPr>
      <w:r>
        <w:rPr>
          <w:rFonts w:eastAsia="Times New Roman"/>
          <w:lang w:val="en-US"/>
        </w:rPr>
        <w:t>in your market</w:t>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Titleschedule"/>
        <w:rPr/>
      </w:pPr>
      <w:r>
        <w:rPr/>
      </w:r>
    </w:p>
    <w:p>
      <w:pPr>
        <w:pStyle w:val="Titleschedule"/>
        <w:rPr/>
      </w:pPr>
      <w:r>
        <w:rPr/>
      </w:r>
    </w:p>
    <w:p>
      <w:pPr>
        <w:pStyle w:val="Titleschedule"/>
        <w:rPr/>
      </w:pPr>
      <w:bookmarkStart w:id="1620" w:name="_Toc71555959"/>
      <w:bookmarkStart w:id="1621" w:name="_Toc71556150"/>
      <w:bookmarkStart w:id="1622" w:name="_Toc71556752"/>
      <w:bookmarkStart w:id="1623" w:name="_Toc71557382"/>
      <w:bookmarkStart w:id="1624" w:name="_Toc71557626"/>
      <w:bookmarkStart w:id="1625" w:name="_Toc71557990"/>
      <w:bookmarkStart w:id="1626" w:name="_Toc71558259"/>
      <w:bookmarkStart w:id="1627" w:name="_Toc71558372"/>
      <w:bookmarkStart w:id="1628" w:name="_Toc71558502"/>
      <w:bookmarkStart w:id="1629" w:name="_Toc71558637"/>
      <w:bookmarkStart w:id="1630" w:name="_Toc71558725"/>
      <w:bookmarkStart w:id="1631" w:name="_Toc71559316"/>
      <w:bookmarkStart w:id="1632" w:name="_Toc71559367"/>
      <w:bookmarkStart w:id="1633" w:name="_Toc71559388"/>
      <w:bookmarkStart w:id="1634" w:name="_Toc71559392"/>
      <w:bookmarkStart w:id="1635" w:name="_Toc71559397"/>
      <w:bookmarkStart w:id="1636" w:name="_Toc71559522"/>
      <w:bookmarkStart w:id="1637" w:name="_Toc71559570"/>
      <w:bookmarkStart w:id="1638" w:name="_Toc71559575"/>
      <w:bookmarkStart w:id="1639" w:name="_Toc71559578"/>
      <w:bookmarkStart w:id="1640" w:name="_Toc71559630"/>
      <w:bookmarkStart w:id="1641" w:name="_Toc71559666"/>
      <w:bookmarkStart w:id="1642" w:name="_Toc71559708"/>
      <w:bookmarkStart w:id="1643" w:name="_Toc71560005"/>
      <w:bookmarkStart w:id="1644" w:name="_Toc71560060"/>
      <w:bookmarkStart w:id="1645" w:name="_Toc71560162"/>
      <w:bookmarkStart w:id="1646" w:name="_Toc71560174"/>
      <w:bookmarkStart w:id="1647" w:name="_Toc71560225"/>
      <w:bookmarkStart w:id="1648" w:name="_Toc71560641"/>
      <w:bookmarkStart w:id="1649" w:name="_Toc71560712"/>
      <w:bookmarkStart w:id="1650" w:name="_Toc71560725"/>
      <w:bookmarkStart w:id="1651" w:name="_Toc71560751"/>
      <w:bookmarkStart w:id="1652" w:name="_Toc71560772"/>
      <w:bookmarkStart w:id="1653" w:name="_Toc71560810"/>
      <w:bookmarkStart w:id="1654" w:name="_Toc71560865"/>
      <w:bookmarkStart w:id="1655" w:name="_Toc71560882"/>
      <w:bookmarkStart w:id="1656" w:name="_Toc71560890"/>
      <w:bookmarkStart w:id="1657" w:name="_Toc71560902"/>
      <w:bookmarkStart w:id="1658" w:name="_Toc71560923"/>
      <w:bookmarkStart w:id="1659" w:name="_Toc71560968"/>
      <w:bookmarkStart w:id="1660" w:name="_Toc71560977"/>
      <w:bookmarkStart w:id="1661" w:name="_Toc71561064"/>
      <w:bookmarkStart w:id="1662" w:name="_Toc71561103"/>
      <w:bookmarkStart w:id="1663" w:name="_Toc71561107"/>
      <w:bookmarkStart w:id="1664" w:name="_Toc71561173"/>
      <w:bookmarkStart w:id="1665" w:name="_Toc71561184"/>
      <w:bookmarkStart w:id="1666" w:name="_Toc71561190"/>
      <w:bookmarkStart w:id="1667" w:name="_Toc71561250"/>
      <w:bookmarkStart w:id="1668" w:name="_Toc71561281"/>
      <w:bookmarkStart w:id="1669" w:name="_Toc71561310"/>
      <w:bookmarkStart w:id="1670" w:name="_Toc71563988"/>
      <w:bookmarkStart w:id="1671" w:name="_Toc71564000"/>
      <w:bookmarkStart w:id="1672" w:name="_Toc71564050"/>
      <w:bookmarkStart w:id="1673" w:name="_Toc71564170"/>
      <w:bookmarkStart w:id="1674" w:name="_Toc71564619"/>
      <w:bookmarkStart w:id="1675" w:name="_Toc71564710"/>
      <w:bookmarkStart w:id="1676" w:name="_Toc71565860"/>
      <w:bookmarkStart w:id="1677" w:name="_Toc71566959"/>
      <w:bookmarkStart w:id="1678" w:name="_Toc71567055"/>
      <w:bookmarkStart w:id="1679" w:name="_Toc71567080"/>
      <w:bookmarkStart w:id="1680" w:name="_Toc71567107"/>
      <w:bookmarkStart w:id="1681" w:name="_Toc71567167"/>
      <w:bookmarkStart w:id="1682" w:name="_Toc71567223"/>
      <w:bookmarkStart w:id="1683" w:name="_Toc71567364"/>
      <w:bookmarkStart w:id="1684" w:name="_Toc71567556"/>
      <w:bookmarkStart w:id="1685" w:name="_Toc71567620"/>
      <w:bookmarkStart w:id="1686" w:name="_Toc71567754"/>
      <w:bookmarkStart w:id="1687" w:name="_Toc71567945"/>
      <w:bookmarkStart w:id="1688" w:name="_Toc71567952"/>
      <w:bookmarkStart w:id="1689" w:name="_Toc71567985"/>
      <w:bookmarkStart w:id="1690" w:name="_Toc71568020"/>
      <w:bookmarkStart w:id="1691" w:name="_Toc71568047"/>
      <w:bookmarkStart w:id="1692" w:name="_Toc71568077"/>
      <w:bookmarkStart w:id="1693" w:name="_Toc71568102"/>
      <w:bookmarkStart w:id="1694" w:name="_Toc71568107"/>
      <w:bookmarkStart w:id="1695" w:name="_Toc71568160"/>
      <w:bookmarkStart w:id="1696" w:name="_Toc71568267"/>
      <w:bookmarkStart w:id="1697" w:name="_Toc71568276"/>
      <w:bookmarkStart w:id="1698" w:name="_Toc71568347"/>
      <w:bookmarkStart w:id="1699" w:name="_Toc71568375"/>
      <w:bookmarkStart w:id="1700" w:name="_Toc71568411"/>
      <w:bookmarkStart w:id="1701" w:name="_Toc71568427"/>
      <w:bookmarkStart w:id="1702" w:name="_Toc71568440"/>
      <w:bookmarkStart w:id="1703" w:name="_Toc71568473"/>
      <w:bookmarkStart w:id="1704" w:name="_Toc71568485"/>
      <w:bookmarkStart w:id="1705" w:name="_Toc71568788"/>
      <w:bookmarkStart w:id="1706" w:name="_Toc71568894"/>
      <w:bookmarkStart w:id="1707" w:name="_Toc71568927"/>
      <w:bookmarkStart w:id="1708" w:name="_Toc71568984"/>
      <w:bookmarkStart w:id="1709" w:name="_Toc71569240"/>
      <w:bookmarkStart w:id="1710" w:name="_Toc71569458"/>
      <w:bookmarkStart w:id="1711" w:name="_Toc71569583"/>
      <w:bookmarkStart w:id="1712" w:name="_Toc71569589"/>
      <w:bookmarkStart w:id="1713" w:name="_Toc71569654"/>
      <w:bookmarkStart w:id="1714" w:name="_Toc71569659"/>
      <w:bookmarkStart w:id="1715" w:name="_Toc71569667"/>
      <w:bookmarkStart w:id="1716" w:name="_Toc71569677"/>
      <w:bookmarkStart w:id="1717" w:name="_Toc71569724"/>
      <w:bookmarkStart w:id="1718" w:name="_Toc71569768"/>
      <w:bookmarkStart w:id="1719" w:name="_Toc71569773"/>
      <w:bookmarkStart w:id="1720" w:name="_Toc71569778"/>
      <w:bookmarkStart w:id="1721" w:name="_Toc71569794"/>
      <w:bookmarkStart w:id="1722" w:name="_Toc71570070"/>
      <w:bookmarkStart w:id="1723" w:name="_Toc71570111"/>
      <w:bookmarkStart w:id="1724" w:name="_Toc71570262"/>
      <w:bookmarkStart w:id="1725" w:name="_Toc71570406"/>
      <w:bookmarkStart w:id="1726" w:name="_Toc71570416"/>
      <w:bookmarkStart w:id="1727" w:name="_Toc71700335"/>
      <w:bookmarkStart w:id="1728" w:name="_Toc71700566"/>
      <w:bookmarkStart w:id="1729" w:name="_Toc71700612"/>
      <w:bookmarkStart w:id="1730" w:name="_Toc71700717"/>
      <w:bookmarkStart w:id="1731" w:name="_Toc71700763"/>
      <w:bookmarkStart w:id="1732" w:name="_Toc71700990"/>
      <w:bookmarkStart w:id="1733" w:name="_Toc71701602"/>
      <w:bookmarkStart w:id="1734" w:name="_Toc71702195"/>
      <w:bookmarkStart w:id="1735" w:name="_Toc71702213"/>
      <w:bookmarkStart w:id="1736" w:name="_Toc71702219"/>
      <w:bookmarkStart w:id="1737" w:name="_Toc71708535"/>
      <w:bookmarkStart w:id="1738" w:name="_Toc71709488"/>
      <w:bookmarkStart w:id="1739" w:name="_Toc71709539"/>
      <w:bookmarkStart w:id="1740" w:name="_Toc71709544"/>
      <w:bookmarkStart w:id="1741" w:name="_Toc98779254"/>
      <w:bookmarkStart w:id="1742" w:name="_Toc98779292"/>
      <w:bookmarkStart w:id="1743" w:name="_Toc98779359"/>
      <w:bookmarkStart w:id="1744" w:name="_Toc98779452"/>
      <w:bookmarkStart w:id="1745" w:name="_Toc98779522"/>
      <w:bookmarkStart w:id="1746" w:name="_Toc98779597"/>
      <w:bookmarkStart w:id="1747" w:name="_Toc98779657"/>
      <w:bookmarkStart w:id="1748" w:name="_Toc98779734"/>
      <w:bookmarkStart w:id="1749" w:name="_Toc98779794"/>
      <w:bookmarkStart w:id="1750" w:name="_Toc98779855"/>
      <w:bookmarkStart w:id="1751" w:name="_Toc98779969"/>
      <w:bookmarkStart w:id="1752" w:name="_Toc98780074"/>
      <w:bookmarkStart w:id="1753" w:name="_Toc98780154"/>
      <w:bookmarkStart w:id="1754" w:name="_Toc98780208"/>
      <w:bookmarkStart w:id="1755" w:name="_Toc98780304"/>
      <w:bookmarkStart w:id="1756" w:name="_Toc98780397"/>
      <w:bookmarkStart w:id="1757" w:name="_Toc98780484"/>
      <w:bookmarkStart w:id="1758" w:name="_Toc98780565"/>
      <w:bookmarkStart w:id="1759" w:name="_Toc98780594"/>
      <w:bookmarkStart w:id="1760" w:name="_Toc98780625"/>
      <w:bookmarkStart w:id="1761" w:name="_Toc98780689"/>
      <w:bookmarkStart w:id="1762" w:name="_Toc98780759"/>
      <w:bookmarkStart w:id="1763" w:name="_Toc98780826"/>
      <w:bookmarkStart w:id="1764" w:name="_Toc98780927"/>
      <w:bookmarkStart w:id="1765" w:name="_Toc98780938"/>
      <w:bookmarkStart w:id="1766" w:name="_Toc98780947"/>
      <w:bookmarkStart w:id="1767" w:name="_Toc98831118"/>
      <w:bookmarkStart w:id="1768" w:name="_Toc98831185"/>
      <w:bookmarkStart w:id="1769" w:name="_Toc98831305"/>
      <w:bookmarkStart w:id="1770" w:name="_Toc98831560"/>
      <w:bookmarkStart w:id="1771" w:name="_Toc98831577"/>
      <w:bookmarkStart w:id="1772" w:name="_Toc98831656"/>
      <w:bookmarkStart w:id="1773" w:name="_Toc98831679"/>
      <w:bookmarkStart w:id="1774" w:name="_Toc98831808"/>
      <w:bookmarkStart w:id="1775" w:name="_Toc98831825"/>
      <w:bookmarkStart w:id="1776" w:name="_Toc98831847"/>
      <w:bookmarkStart w:id="1777" w:name="_Toc98831853"/>
      <w:bookmarkStart w:id="1778" w:name="_Toc98831859"/>
      <w:bookmarkStart w:id="1779" w:name="_Toc98831865"/>
      <w:bookmarkStart w:id="1780" w:name="_Toc98937972"/>
      <w:bookmarkStart w:id="1781" w:name="_Toc98941486"/>
      <w:bookmarkStart w:id="1782" w:name="_Toc98941871"/>
      <w:bookmarkStart w:id="1783" w:name="_Toc98941932"/>
      <w:bookmarkStart w:id="1784" w:name="_Toc98942027"/>
      <w:bookmarkStart w:id="1785" w:name="_Toc98942178"/>
      <w:bookmarkStart w:id="1786" w:name="_Toc98942249"/>
      <w:bookmarkStart w:id="1787" w:name="_Toc98942310"/>
      <w:bookmarkStart w:id="1788" w:name="_Toc98942370"/>
      <w:bookmarkStart w:id="1789" w:name="_Toc98942444"/>
      <w:bookmarkStart w:id="1790" w:name="_Toc98942504"/>
      <w:bookmarkStart w:id="1791" w:name="_Toc98942573"/>
      <w:bookmarkStart w:id="1792" w:name="_Toc98942647"/>
      <w:bookmarkStart w:id="1793" w:name="_Toc98942720"/>
      <w:bookmarkStart w:id="1794" w:name="_Toc98942841"/>
      <w:bookmarkStart w:id="1795" w:name="_Toc98942916"/>
      <w:bookmarkStart w:id="1796" w:name="_Toc98943036"/>
      <w:bookmarkStart w:id="1797" w:name="_Toc98944546"/>
      <w:bookmarkStart w:id="1798" w:name="_Toc98944626"/>
      <w:bookmarkStart w:id="1799" w:name="_Toc98944716"/>
      <w:bookmarkStart w:id="1800" w:name="_Toc98944779"/>
      <w:bookmarkStart w:id="1801" w:name="_Toc98944834"/>
      <w:bookmarkStart w:id="1802" w:name="_Toc98944887"/>
      <w:bookmarkStart w:id="1803" w:name="_Toc98944947"/>
      <w:bookmarkStart w:id="1804" w:name="_Toc98945014"/>
      <w:bookmarkStart w:id="1805" w:name="_Toc98945084"/>
      <w:bookmarkStart w:id="1806" w:name="_Toc98945407"/>
      <w:bookmarkStart w:id="1807" w:name="_Toc98945494"/>
      <w:bookmarkStart w:id="1808" w:name="_Toc98945572"/>
      <w:bookmarkStart w:id="1809" w:name="_Toc98945632"/>
      <w:bookmarkStart w:id="1810" w:name="_Toc98945728"/>
      <w:bookmarkStart w:id="1811" w:name="_Toc98945788"/>
      <w:bookmarkStart w:id="1812" w:name="_Toc98945856"/>
      <w:bookmarkStart w:id="1813" w:name="_Toc98945946"/>
      <w:bookmarkStart w:id="1814" w:name="_Toc98946006"/>
      <w:bookmarkStart w:id="1815" w:name="_Toc98946043"/>
      <w:bookmarkStart w:id="1816" w:name="_Toc98946605"/>
      <w:bookmarkStart w:id="1817" w:name="_Toc98946668"/>
      <w:bookmarkStart w:id="1818" w:name="_Toc98946929"/>
      <w:bookmarkStart w:id="1819" w:name="_Toc98946989"/>
      <w:bookmarkStart w:id="1820" w:name="_Toc98947006"/>
      <w:bookmarkStart w:id="1821" w:name="_Toc98947055"/>
      <w:bookmarkStart w:id="1822" w:name="_Toc98947121"/>
      <w:bookmarkStart w:id="1823" w:name="_Toc98947157"/>
      <w:bookmarkStart w:id="1824" w:name="_Toc98947196"/>
      <w:bookmarkStart w:id="1825" w:name="_Toc98947311"/>
      <w:bookmarkStart w:id="1826" w:name="_Toc98947325"/>
      <w:bookmarkStart w:id="1827" w:name="_Toc98947396"/>
      <w:bookmarkStart w:id="1828" w:name="_Toc98947473"/>
      <w:bookmarkStart w:id="1829" w:name="_Toc98947533"/>
      <w:bookmarkStart w:id="1830" w:name="_Toc98947707"/>
      <w:bookmarkStart w:id="1831" w:name="_Toc98947789"/>
      <w:bookmarkStart w:id="1832" w:name="_Toc98947854"/>
      <w:bookmarkStart w:id="1833" w:name="_Toc98947933"/>
      <w:bookmarkStart w:id="1834" w:name="_Toc98947942"/>
      <w:bookmarkStart w:id="1835" w:name="_Toc98948020"/>
      <w:bookmarkStart w:id="1836" w:name="_Toc98948108"/>
      <w:bookmarkStart w:id="1837" w:name="_Toc98948206"/>
      <w:bookmarkStart w:id="1838" w:name="_Toc98948342"/>
      <w:bookmarkStart w:id="1839" w:name="_Toc98948394"/>
      <w:bookmarkStart w:id="1840" w:name="_Toc98948503"/>
      <w:bookmarkStart w:id="1841" w:name="_Toc98948598"/>
      <w:bookmarkStart w:id="1842" w:name="_Toc98948604"/>
      <w:bookmarkStart w:id="1843" w:name="_Toc98949247"/>
      <w:bookmarkStart w:id="1844" w:name="_Toc98949312"/>
      <w:bookmarkStart w:id="1845" w:name="_Toc98949383"/>
      <w:bookmarkStart w:id="1846" w:name="_Toc98949477"/>
      <w:bookmarkStart w:id="1847" w:name="_Toc98949556"/>
      <w:bookmarkStart w:id="1848" w:name="_Toc98949636"/>
      <w:bookmarkStart w:id="1849" w:name="_Toc98949696"/>
      <w:bookmarkStart w:id="1850" w:name="_Toc98949763"/>
      <w:bookmarkStart w:id="1851" w:name="_Toc98949882"/>
      <w:bookmarkStart w:id="1852" w:name="_Toc98950024"/>
      <w:bookmarkStart w:id="1853" w:name="_Toc98950156"/>
      <w:bookmarkStart w:id="1854" w:name="_Toc98950244"/>
      <w:bookmarkStart w:id="1855" w:name="_Toc98950304"/>
      <w:bookmarkStart w:id="1856" w:name="_Toc98950399"/>
      <w:bookmarkStart w:id="1857" w:name="_Toc98950445"/>
      <w:bookmarkStart w:id="1858" w:name="_Toc98950461"/>
      <w:bookmarkStart w:id="1859" w:name="_Toc98950556"/>
      <w:bookmarkStart w:id="1860" w:name="_Toc98950616"/>
      <w:bookmarkStart w:id="1861" w:name="_Toc98950622"/>
      <w:bookmarkStart w:id="1862" w:name="_Toc98950642"/>
      <w:bookmarkStart w:id="1863" w:name="_Toc98950648"/>
      <w:bookmarkStart w:id="1864" w:name="_Toc98950654"/>
      <w:bookmarkStart w:id="1865" w:name="_Toc98950669"/>
      <w:bookmarkStart w:id="1866" w:name="_Toc98950674"/>
      <w:bookmarkStart w:id="1867" w:name="_Toc98950679"/>
      <w:bookmarkStart w:id="1868" w:name="_Toc98950724"/>
      <w:bookmarkStart w:id="1869" w:name="_Toc98951195"/>
      <w:bookmarkStart w:id="1870" w:name="_Toc98951315"/>
      <w:bookmarkStart w:id="1871" w:name="_Toc98951437"/>
      <w:bookmarkStart w:id="1872" w:name="_Toc98951663"/>
      <w:bookmarkStart w:id="1873" w:name="_Toc98951769"/>
      <w:bookmarkStart w:id="1874" w:name="_Toc98951782"/>
      <w:bookmarkStart w:id="1875" w:name="_Toc98951806"/>
      <w:bookmarkStart w:id="1876" w:name="_Toc98951904"/>
      <w:bookmarkStart w:id="1877" w:name="_Toc98952008"/>
      <w:bookmarkStart w:id="1878" w:name="_Toc98952120"/>
      <w:bookmarkStart w:id="1879" w:name="_Toc98952188"/>
      <w:bookmarkStart w:id="1880" w:name="_Toc98952241"/>
      <w:bookmarkStart w:id="1881" w:name="_Toc98953550"/>
      <w:bookmarkStart w:id="1882" w:name="_Toc99003351"/>
      <w:bookmarkStart w:id="1883" w:name="_Toc99003404"/>
      <w:bookmarkStart w:id="1884" w:name="_Toc99003491"/>
      <w:bookmarkStart w:id="1885" w:name="_Toc99003554"/>
      <w:bookmarkStart w:id="1886" w:name="_Toc99003654"/>
      <w:bookmarkStart w:id="1887" w:name="_Toc99003716"/>
      <w:bookmarkStart w:id="1888" w:name="_Toc99003784"/>
      <w:bookmarkStart w:id="1889" w:name="_Toc99003846"/>
      <w:bookmarkStart w:id="1890" w:name="_Toc99004026"/>
      <w:bookmarkStart w:id="1891" w:name="_Toc99004103"/>
      <w:bookmarkStart w:id="1892" w:name="_Toc99004185"/>
      <w:bookmarkStart w:id="1893" w:name="_Toc99004248"/>
      <w:bookmarkStart w:id="1894" w:name="_Toc99004304"/>
      <w:bookmarkStart w:id="1895" w:name="_Toc99004309"/>
      <w:bookmarkStart w:id="1896" w:name="_Toc99004378"/>
      <w:bookmarkStart w:id="1897" w:name="_Toc99004439"/>
      <w:bookmarkStart w:id="1898" w:name="_Toc99004499"/>
      <w:bookmarkStart w:id="1899" w:name="_Toc99004559"/>
      <w:bookmarkStart w:id="1900" w:name="_Toc99004622"/>
      <w:bookmarkStart w:id="1901" w:name="_Toc99004752"/>
      <w:bookmarkStart w:id="1902" w:name="_Toc99004814"/>
      <w:bookmarkStart w:id="1903" w:name="_Toc99004878"/>
      <w:bookmarkStart w:id="1904" w:name="_Toc99004955"/>
      <w:bookmarkStart w:id="1905" w:name="_Toc99005043"/>
      <w:bookmarkStart w:id="1906" w:name="_Toc99005089"/>
      <w:bookmarkStart w:id="1907" w:name="_Toc99005118"/>
      <w:bookmarkStart w:id="1908" w:name="_Toc99005192"/>
      <w:bookmarkStart w:id="1909" w:name="_Toc99005294"/>
      <w:bookmarkStart w:id="1910" w:name="_Toc99005570"/>
      <w:bookmarkStart w:id="1911" w:name="_Toc99005632"/>
      <w:bookmarkStart w:id="1912" w:name="_Toc99005693"/>
      <w:bookmarkStart w:id="1913" w:name="_Toc99005813"/>
      <w:bookmarkStart w:id="1914" w:name="_Toc99005878"/>
      <w:bookmarkStart w:id="1915" w:name="_Toc99005925"/>
      <w:bookmarkStart w:id="1916" w:name="_Toc99005949"/>
      <w:bookmarkStart w:id="1917" w:name="_Toc99006015"/>
      <w:bookmarkStart w:id="1918" w:name="_Toc99006044"/>
      <w:bookmarkStart w:id="1919" w:name="_Toc99006075"/>
      <w:bookmarkStart w:id="1920" w:name="_Toc99006134"/>
      <w:bookmarkStart w:id="1921" w:name="_Toc99006214"/>
      <w:bookmarkStart w:id="1922" w:name="_Toc99006280"/>
      <w:bookmarkStart w:id="1923" w:name="_Toc99006377"/>
      <w:bookmarkStart w:id="1924" w:name="_Toc99006442"/>
      <w:bookmarkStart w:id="1925" w:name="_Toc99006516"/>
      <w:bookmarkStart w:id="1926" w:name="_Toc99006531"/>
      <w:bookmarkStart w:id="1927" w:name="_Toc99006578"/>
      <w:bookmarkStart w:id="1928" w:name="_Toc99006683"/>
      <w:bookmarkStart w:id="1929" w:name="_Toc99006730"/>
      <w:bookmarkStart w:id="1930" w:name="_Toc99006801"/>
      <w:bookmarkStart w:id="1931" w:name="_Toc99006861"/>
      <w:bookmarkStart w:id="1932" w:name="_Toc99006988"/>
      <w:bookmarkStart w:id="1933" w:name="_Toc99007052"/>
      <w:bookmarkStart w:id="1934" w:name="_Toc99007115"/>
      <w:bookmarkStart w:id="1935" w:name="_Toc99007178"/>
      <w:bookmarkStart w:id="1936" w:name="_Toc99007183"/>
      <w:bookmarkStart w:id="1937" w:name="_Toc99007210"/>
      <w:bookmarkStart w:id="1938" w:name="_Toc99007215"/>
      <w:bookmarkStart w:id="1939" w:name="_Toc99008775"/>
      <w:bookmarkStart w:id="1940" w:name="_Toc99008914"/>
      <w:bookmarkStart w:id="1941" w:name="_Toc99008984"/>
      <w:bookmarkStart w:id="1942" w:name="_Toc99009012"/>
      <w:bookmarkStart w:id="1943" w:name="_Toc99009042"/>
      <w:bookmarkStart w:id="1944" w:name="_Toc99009121"/>
      <w:bookmarkStart w:id="1945" w:name="_Toc99009349"/>
      <w:bookmarkStart w:id="1946" w:name="_Toc99009414"/>
      <w:bookmarkStart w:id="1947" w:name="_Toc99009536"/>
      <w:bookmarkStart w:id="1948" w:name="_Toc99009597"/>
      <w:bookmarkStart w:id="1949" w:name="_Toc99009658"/>
      <w:bookmarkStart w:id="1950" w:name="_Toc99036473"/>
      <w:bookmarkStart w:id="1951" w:name="_Toc99036633"/>
      <w:bookmarkStart w:id="1952" w:name="_Toc99036698"/>
      <w:bookmarkStart w:id="1953" w:name="_Toc99036817"/>
      <w:bookmarkStart w:id="1954" w:name="_Toc99036822"/>
      <w:r>
        <w:rPr/>
        <w:t>Schedule E: Regulatory</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p>
      <w:pPr>
        <w:pStyle w:val="Text"/>
        <w:rPr/>
      </w:pPr>
      <w:r>
        <w:rPr/>
      </w:r>
    </w:p>
    <w:p>
      <w:pPr>
        <w:pStyle w:val="Text"/>
        <w:rPr>
          <w:b/>
          <w:b/>
        </w:rPr>
      </w:pPr>
      <w:r>
        <w:rPr>
          <w:b/>
        </w:rPr>
        <w:t xml:space="preserve">Compliance with Laws and Regulations </w:t>
      </w:r>
    </w:p>
    <w:p>
      <w:pPr>
        <w:pStyle w:val="AText"/>
        <w:numPr>
          <w:ilvl w:val="4"/>
          <w:numId w:val="48"/>
        </w:numPr>
        <w:rPr/>
      </w:pPr>
      <w:r>
        <w:rPr/>
        <w:t>Either Party shall carry out its activities in compliance with the medical device regulation and any other applicable laws and regulations as amended from time to time ("</w:t>
      </w:r>
      <w:r>
        <w:rPr>
          <w:b/>
        </w:rPr>
        <w:t>Applicable Legislation</w:t>
      </w:r>
      <w:r>
        <w:rPr/>
        <w:t>").</w:t>
      </w:r>
    </w:p>
    <w:p>
      <w:pPr>
        <w:pStyle w:val="Text"/>
        <w:rPr>
          <w:b/>
          <w:b/>
        </w:rPr>
      </w:pPr>
      <w:r>
        <w:rPr>
          <w:b/>
        </w:rPr>
        <w:t xml:space="preserve">Role of the Parties </w:t>
      </w:r>
    </w:p>
    <w:p>
      <w:pPr>
        <w:pStyle w:val="AText"/>
        <w:numPr>
          <w:ilvl w:val="4"/>
          <w:numId w:val="49"/>
        </w:numPr>
        <w:rPr/>
      </w:pPr>
      <w:r>
        <w:rPr/>
        <w:t xml:space="preserve">Distributor acknowledges that Anandic acts as the importer of the Products into Switzerland but Distributor acts as importer of the Products from Switzerland into the Territory. Distributor shall comply with all requirements under Applicable Legislation applying to it as importer and distributor of the Products in the Territory. </w:t>
      </w:r>
    </w:p>
    <w:p>
      <w:pPr>
        <w:pStyle w:val="AText"/>
        <w:numPr>
          <w:ilvl w:val="4"/>
          <w:numId w:val="12"/>
        </w:numPr>
        <w:rPr/>
      </w:pPr>
      <w:r>
        <w:rPr/>
        <w:t>Distributor shall ensure that the Products comply with the requirements of the Applicable Legislation for placing them on the market in the Territory and it shall ensure that any and all required licenses, registrations and notifications for the Products and its import and distribution in the Territory are obtained, unless the Parties agree that Anandic will ensure a specific registration or notification. Anandic shall provide Distributor with required information (such as declarations of conformity) and assistance upon request.</w:t>
      </w:r>
    </w:p>
    <w:p>
      <w:pPr>
        <w:pStyle w:val="AText"/>
        <w:numPr>
          <w:ilvl w:val="4"/>
          <w:numId w:val="12"/>
        </w:numPr>
        <w:rPr/>
      </w:pPr>
      <w:r>
        <w:rPr/>
        <w:t>Distributor shall ensure that it indicates on the Product's packaging or in a document accompanying the Product or as otherwise required by Applicable Legislation all required information disclosing its role as importer.</w:t>
      </w:r>
    </w:p>
    <w:p>
      <w:pPr>
        <w:pStyle w:val="AText"/>
        <w:numPr>
          <w:ilvl w:val="4"/>
          <w:numId w:val="12"/>
        </w:numPr>
        <w:rPr/>
      </w:pPr>
      <w:r>
        <w:rPr/>
        <w:t xml:space="preserve">Distributor acknowledges that Medker is the legal manufacturer of the Products and has appointed an EU authorized representative. </w:t>
      </w:r>
    </w:p>
    <w:p>
      <w:pPr>
        <w:pStyle w:val="Text"/>
        <w:rPr>
          <w:b/>
          <w:b/>
        </w:rPr>
      </w:pPr>
      <w:r>
        <w:rPr>
          <w:b/>
        </w:rPr>
        <w:t>Storage and Transport</w:t>
      </w:r>
    </w:p>
    <w:p>
      <w:pPr>
        <w:pStyle w:val="AText"/>
        <w:numPr>
          <w:ilvl w:val="4"/>
          <w:numId w:val="50"/>
        </w:numPr>
        <w:rPr/>
      </w:pPr>
      <w:r>
        <w:rPr/>
        <w:t>Distributor shall ensure that it complies at all times with the storage and transport conditions for the Products as indicated by the legal manufacturer.</w:t>
      </w:r>
    </w:p>
    <w:p>
      <w:pPr>
        <w:pStyle w:val="Text"/>
        <w:rPr>
          <w:b/>
          <w:b/>
        </w:rPr>
      </w:pPr>
      <w:r>
        <w:rPr>
          <w:b/>
        </w:rPr>
        <w:t>Traceability and Market Surveillance</w:t>
      </w:r>
    </w:p>
    <w:p>
      <w:pPr>
        <w:pStyle w:val="AText"/>
        <w:numPr>
          <w:ilvl w:val="4"/>
          <w:numId w:val="51"/>
        </w:numPr>
        <w:rPr/>
      </w:pPr>
      <w:r>
        <w:rPr/>
        <w:t>Both Parties shall keep all records required for traceability purposes in accordance with Applicable Legislation. Distributor acknowledges that it must keep records of all customers it distributes the Products to for at least ten years (or longer if required by Applicable Legislation). Distributor shall provide Anandic such information and assistance as is required to comply with its regulatory duties.</w:t>
      </w:r>
    </w:p>
    <w:p>
      <w:pPr>
        <w:pStyle w:val="AText"/>
        <w:numPr>
          <w:ilvl w:val="4"/>
          <w:numId w:val="12"/>
        </w:numPr>
        <w:rPr/>
      </w:pPr>
      <w:r>
        <w:rPr/>
        <w:t>Distributor will immediately report to Anandic any complaints it becomes aware of about the quality of the Products and any notification of possible danger that may arise from their use. Distributor shall immediately report to Anandic if it becomes aware of</w:t>
      </w:r>
    </w:p>
    <w:p>
      <w:pPr>
        <w:pStyle w:val="IText"/>
        <w:numPr>
          <w:ilvl w:val="5"/>
          <w:numId w:val="12"/>
        </w:numPr>
        <w:rPr/>
      </w:pPr>
      <w:r>
        <w:rPr/>
        <w:t xml:space="preserve">any malfunction, failure or deterioration in the characteristics and/or performance of a Product delivered by Anandic; </w:t>
      </w:r>
    </w:p>
    <w:p>
      <w:pPr>
        <w:pStyle w:val="IText"/>
        <w:numPr>
          <w:ilvl w:val="5"/>
          <w:numId w:val="12"/>
        </w:numPr>
        <w:rPr/>
      </w:pPr>
      <w:r>
        <w:rPr/>
        <w:t xml:space="preserve">any inadequacy in the packaging, labeling or the Instructions For Use (IFU) of a Product delivered by Anandic; </w:t>
      </w:r>
    </w:p>
    <w:p>
      <w:pPr>
        <w:pStyle w:val="IText"/>
        <w:numPr>
          <w:ilvl w:val="5"/>
          <w:numId w:val="12"/>
        </w:numPr>
        <w:rPr/>
      </w:pPr>
      <w:r>
        <w:rPr/>
        <w:t xml:space="preserve">any technical or medical factor in relation to the characteristics or performance of a Product that could lead to a recall or Field Safety Corrective Action of a Product in the Territory; </w:t>
      </w:r>
    </w:p>
    <w:p>
      <w:pPr>
        <w:pStyle w:val="IText"/>
        <w:numPr>
          <w:ilvl w:val="5"/>
          <w:numId w:val="12"/>
        </w:numPr>
        <w:rPr/>
      </w:pPr>
      <w:r>
        <w:rPr/>
        <w:t xml:space="preserve">any serious incident relating to a Product that is reported to Distributor from any source or of which Distributor otherwise becomes aware of, </w:t>
      </w:r>
    </w:p>
    <w:p>
      <w:pPr>
        <w:pStyle w:val="IText"/>
        <w:numPr>
          <w:ilvl w:val="5"/>
          <w:numId w:val="12"/>
        </w:numPr>
        <w:rPr/>
      </w:pPr>
      <w:r>
        <w:rPr/>
        <w:t xml:space="preserve">any recall action or withdrawal threatened or commenced by any governmental or regulatory authority in relation to a Product in the Territory; and </w:t>
      </w:r>
    </w:p>
    <w:p>
      <w:pPr>
        <w:pStyle w:val="IText"/>
        <w:numPr>
          <w:ilvl w:val="5"/>
          <w:numId w:val="12"/>
        </w:numPr>
        <w:rPr/>
      </w:pPr>
      <w:r>
        <w:rPr/>
        <w:t>any product liability claim or action threatened or brought with respect to the Products based on alleged defects in the design or manufacture of the Products.</w:t>
      </w:r>
    </w:p>
    <w:p>
      <w:pPr>
        <w:pStyle w:val="AText"/>
        <w:numPr>
          <w:ilvl w:val="4"/>
          <w:numId w:val="12"/>
        </w:numPr>
        <w:rPr/>
      </w:pPr>
      <w:r>
        <w:rPr/>
        <w:t xml:space="preserve">Both Parties (and the legal manufacturer and its EU authorized representative) shall cooperate in good faith in investigating any incident and determining the actions to be taken </w:t>
      </w:r>
      <w:r>
        <w:rPr>
          <w:lang w:val="en-GB"/>
        </w:rPr>
        <w:t xml:space="preserve">relating to the Product in question. </w:t>
      </w:r>
      <w:r>
        <w:rPr/>
        <w:t xml:space="preserve">Unless otherwise agreed, Anandic will forward any reports to the legal manufacture (and/or its EU authorized representative) which shall be responsible for reporting to the regulatory authorities under the applicable vigilance regulations in the Territory. Distributor shall provide all required assistance to Anandic and/or the legal manufacturer. </w:t>
      </w:r>
    </w:p>
    <w:p>
      <w:pPr>
        <w:pStyle w:val="AText"/>
        <w:numPr>
          <w:ilvl w:val="4"/>
          <w:numId w:val="12"/>
        </w:numPr>
        <w:rPr/>
      </w:pPr>
      <w:r>
        <w:rPr/>
        <w:t>In case a field safety corrective action or recall of any of the Products distributed in the Territory is required, both Parties will cooperate in good faith and provide each other the required assistance.</w:t>
      </w:r>
    </w:p>
    <w:p>
      <w:pPr>
        <w:pStyle w:val="AText"/>
        <w:numPr>
          <w:ilvl w:val="0"/>
          <w:numId w:val="0"/>
        </w:numPr>
        <w:ind w:left="0" w:hanging="0"/>
        <w:rPr>
          <w:strike/>
        </w:rPr>
      </w:pPr>
      <w:r>
        <w:rPr>
          <w:strike/>
        </w:rPr>
      </w:r>
    </w:p>
    <w:p>
      <w:pPr>
        <w:pStyle w:val="AText"/>
        <w:numPr>
          <w:ilvl w:val="0"/>
          <w:numId w:val="0"/>
        </w:numPr>
        <w:ind w:left="0" w:hanging="0"/>
        <w:rPr/>
      </w:pPr>
      <w:r>
        <w:rPr/>
      </w:r>
    </w:p>
    <w:sectPr>
      <w:headerReference w:type="default" r:id="rId8"/>
      <w:footerReference w:type="default" r:id="rId9"/>
      <w:type w:val="nextPage"/>
      <w:pgSz w:w="11906" w:h="16838"/>
      <w:pgMar w:left="1418" w:right="1134" w:gutter="0" w:header="578" w:top="2268" w:footer="420" w:bottom="170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Calibri">
    <w:charset w:val="00"/>
    <w:family w:val="roman"/>
    <w:pitch w:val="variable"/>
  </w:font>
  <w:font w:name="Century Gothic">
    <w:charset w:val="00"/>
    <w:family w:val="roman"/>
    <w:pitch w:val="variable"/>
  </w:font>
  <w:font w:name="Liberation Sans">
    <w:altName w:val="Arial"/>
    <w:charset w:val="00"/>
    <w:family w:val="roman"/>
    <w:pitch w:val="variable"/>
  </w:font>
  <w:font w:name="Symbol">
    <w:charset w:val="00"/>
    <w:family w:val="roman"/>
    <w:pitch w:val="variable"/>
  </w:font>
  <w:font w:name="HelveticaNeue Extended">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nfo"/>
      <w:rPr>
        <w:lang w:val="en-GB"/>
      </w:rPr>
    </w:pPr>
    <w:r>
      <w:rPr/>
      <w:fldChar w:fldCharType="begin"/>
    </w:r>
    <w:r>
      <w:rPr/>
      <w:instrText xml:space="preserve"> FILENAME </w:instrText>
    </w:r>
    <w:r>
      <w:rPr/>
      <w:fldChar w:fldCharType="separate"/>
    </w:r>
    <w:r>
      <w:rPr/>
      <w:t>315397.13475 ViamedLTD_distr_Agreement_Anandic-UK_181223_29_12_23.docx</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tbl>
    <w:tblPr>
      <w:tblStyle w:val="TableGrid"/>
      <w:tblW w:w="8845" w:type="dxa"/>
      <w:jc w:val="left"/>
      <w:tblInd w:w="0" w:type="dxa"/>
      <w:tblLayout w:type="fixed"/>
      <w:tblCellMar>
        <w:top w:w="28" w:type="dxa"/>
        <w:left w:w="0" w:type="dxa"/>
        <w:bottom w:w="28" w:type="dxa"/>
        <w:right w:w="0" w:type="dxa"/>
      </w:tblCellMar>
      <w:tblLook w:firstRow="1" w:noVBand="1" w:lastRow="0" w:firstColumn="1" w:lastColumn="0" w:noHBand="0" w:val="04a0"/>
    </w:tblPr>
    <w:tblGrid>
      <w:gridCol w:w="8845"/>
    </w:tblGrid>
    <w:tr>
      <w:trPr>
        <w:cantSplit w:val="true"/>
      </w:trPr>
      <w:tc>
        <w:tcPr>
          <w:tcW w:w="8845" w:type="dxa"/>
          <w:tcBorders>
            <w:top w:val="nil"/>
            <w:left w:val="nil"/>
            <w:bottom w:val="nil"/>
            <w:right w:val="nil"/>
          </w:tcBorders>
        </w:tcPr>
        <w:p>
          <w:pPr>
            <w:pStyle w:val="Footer"/>
            <w:widowControl w:val="false"/>
            <w:spacing w:before="0" w:after="0"/>
            <w:jc w:val="both"/>
            <w:rPr>
              <w:rFonts w:ascii="Times New Roman" w:hAnsi="Times New Roman" w:cs="font292"/>
              <w:kern w:val="0"/>
              <w:szCs w:val="24"/>
              <w:lang w:val="de-CH" w:eastAsia="en-US" w:bidi="ar-SA"/>
            </w:rPr>
          </w:pPr>
          <w:r>
            <w:rPr>
              <w:rFonts w:cs="font292"/>
              <w:kern w:val="0"/>
              <w:szCs w:val="24"/>
              <w:lang w:val="de-CH" w:eastAsia="en-US" w:bidi="ar-SA"/>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nfo"/>
      <w:rPr>
        <w:lang w:val="en-GB"/>
      </w:rPr>
    </w:pPr>
    <w:r>
      <w:rPr/>
      <w:fldChar w:fldCharType="begin"/>
    </w:r>
    <w:r>
      <w:rPr/>
      <w:instrText xml:space="preserve"> FILENAME </w:instrText>
    </w:r>
    <w:r>
      <w:rPr/>
      <w:fldChar w:fldCharType="separate"/>
    </w:r>
    <w:r>
      <w:rPr/>
      <w:t>315397.13475 ViamedLTD_distr_Agreement_Anandic-UK_181223_29_12_23.docx</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35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7796"/>
      <w:gridCol w:w="1557"/>
    </w:tblGrid>
    <w:tr>
      <w:trPr>
        <w:trHeight w:val="290" w:hRule="atLeast"/>
      </w:trPr>
      <w:tc>
        <w:tcPr>
          <w:tcW w:w="7796" w:type="dxa"/>
          <w:tcBorders>
            <w:top w:val="nil"/>
            <w:left w:val="nil"/>
            <w:bottom w:val="nil"/>
            <w:right w:val="nil"/>
          </w:tcBorders>
        </w:tcPr>
        <w:p>
          <w:pPr>
            <w:pStyle w:val="Header"/>
            <w:widowControl w:val="false"/>
            <w:spacing w:before="0" w:after="0"/>
            <w:jc w:val="both"/>
            <w:rPr>
              <w:rFonts w:cs="Arial"/>
              <w:szCs w:val="18"/>
            </w:rPr>
          </w:pPr>
          <w:r>
            <w:rPr>
              <w:rFonts w:cs="Arial"/>
              <w:szCs w:val="18"/>
            </w:rPr>
          </w:r>
        </w:p>
      </w:tc>
      <w:tc>
        <w:tcPr>
          <w:tcW w:w="1557" w:type="dxa"/>
          <w:tcBorders>
            <w:top w:val="nil"/>
            <w:left w:val="nil"/>
            <w:bottom w:val="nil"/>
            <w:right w:val="nil"/>
          </w:tcBorders>
        </w:tcPr>
        <w:sdt>
          <w:sdtPr>
            <w:docPartObj>
              <w:docPartGallery w:val="Page Numbers (Top of Page)"/>
              <w:docPartUnique w:val="true"/>
            </w:docPartObj>
            <w:id w:val="1104862181"/>
          </w:sdtPr>
          <w:sdtContent>
            <w:p>
              <w:pPr>
                <w:pStyle w:val="Header"/>
                <w:widowControl w:val="false"/>
                <w:spacing w:before="0" w:after="0"/>
                <w:jc w:val="right"/>
                <w:rPr>
                  <w:rFonts w:cs="Arial"/>
                  <w:lang w:val="de-DE"/>
                </w:rPr>
              </w:pPr>
              <w:r>
                <w:rPr>
                  <w:rFonts w:cs="Arial"/>
                  <w:kern w:val="0"/>
                  <w:szCs w:val="18"/>
                  <w:lang w:val="de-DE" w:eastAsia="en-US" w:bidi="ar-SA"/>
                </w:rPr>
                <w:fldChar w:fldCharType="begin"/>
              </w:r>
              <w:r>
                <w:rPr>
                  <w:kern w:val="0"/>
                  <w:szCs w:val="18"/>
                  <w:rFonts w:cs="Arial"/>
                  <w:lang w:val="de-DE" w:eastAsia="en-US" w:bidi="ar-SA"/>
                </w:rPr>
                <w:instrText xml:space="preserve"> PAGE </w:instrText>
              </w:r>
              <w:r>
                <w:rPr>
                  <w:kern w:val="0"/>
                  <w:szCs w:val="18"/>
                  <w:rFonts w:cs="Arial"/>
                  <w:lang w:val="de-DE" w:eastAsia="en-US" w:bidi="ar-SA"/>
                </w:rPr>
                <w:fldChar w:fldCharType="separate"/>
              </w:r>
              <w:r>
                <w:rPr>
                  <w:kern w:val="0"/>
                  <w:szCs w:val="18"/>
                  <w:rFonts w:cs="Arial"/>
                  <w:lang w:val="de-DE" w:eastAsia="en-US" w:bidi="ar-SA"/>
                </w:rPr>
                <w:t>12</w:t>
              </w:r>
              <w:r>
                <w:rPr>
                  <w:kern w:val="0"/>
                  <w:szCs w:val="18"/>
                  <w:rFonts w:cs="Arial"/>
                  <w:lang w:val="de-DE" w:eastAsia="en-US" w:bidi="ar-SA"/>
                </w:rPr>
                <w:fldChar w:fldCharType="end"/>
              </w:r>
              <w:r>
                <w:rPr>
                  <w:rFonts w:cs="Arial"/>
                  <w:kern w:val="0"/>
                  <w:szCs w:val="18"/>
                  <w:lang w:val="de-DE" w:eastAsia="en-US" w:bidi="ar-SA"/>
                </w:rPr>
                <w:t xml:space="preserve"> </w:t>
              </w:r>
              <w:r>
                <w:rPr>
                  <w:rFonts w:cs="Arial"/>
                  <w:kern w:val="0"/>
                  <w:szCs w:val="18"/>
                  <w:lang w:val="de-DE" w:eastAsia="en-US" w:bidi="ar-SA"/>
                </w:rPr>
                <w:t xml:space="preserve">/ </w:t>
              </w:r>
              <w:r>
                <w:fldChar w:fldCharType="begin"/>
              </w:r>
              <w:r>
                <w:rPr>
                  <w:kern w:val="0"/>
                  <w:szCs w:val="18"/>
                  <w:rFonts w:cs="Arial"/>
                  <w:lang w:val="de-DE" w:eastAsia="en-US" w:bidi="ar-SA"/>
                </w:rPr>
                <w:instrText xml:space="preserve">SECTIONPAGES   \* MERGEFORMAT</w:instrText>
              </w:r>
              <w:r>
                <w:rPr>
                  <w:rFonts w:cs="Arial"/>
                  <w:kern w:val="0"/>
                  <w:szCs w:val="18"/>
                  <w:lang w:val="de-DE" w:eastAsia="en-US" w:bidi="ar-SA"/>
                </w:rPr>
              </w:r>
              <w:r>
                <w:rPr>
                  <w:kern w:val="0"/>
                  <w:szCs w:val="18"/>
                  <w:rFonts w:cs="Arial"/>
                  <w:lang w:val="de-DE" w:eastAsia="en-US" w:bidi="ar-SA"/>
                </w:rPr>
                <w:fldChar w:fldCharType="separate"/>
              </w:r>
              <w:r>
                <w:rPr>
                  <w:rFonts w:cs="Arial"/>
                  <w:kern w:val="0"/>
                  <w:szCs w:val="18"/>
                  <w:lang w:val="de-DE" w:eastAsia="en-US" w:bidi="ar-SA"/>
                </w:rPr>
              </w:r>
              <w:r>
                <w:rPr>
                  <w:rFonts w:cs="Arial"/>
                  <w:smallCaps/>
                  <w:kern w:val="0"/>
                  <w:szCs w:val="18"/>
                  <w:lang w:val="de-CH" w:eastAsia="en-US" w:bidi="ar-SA"/>
                </w:rPr>
                <w:t>12</w:t>
              </w:r>
              <w:r>
                <w:rPr>
                  <w:rFonts w:cs="Arial"/>
                  <w:kern w:val="0"/>
                  <w:szCs w:val="18"/>
                  <w:lang w:val="de-DE" w:eastAsia="en-US" w:bidi="ar-SA"/>
                </w:rPr>
              </w:r>
              <w:r>
                <w:rPr>
                  <w:kern w:val="0"/>
                  <w:szCs w:val="18"/>
                  <w:rFonts w:cs="Arial"/>
                  <w:lang w:val="de-DE" w:eastAsia="en-US" w:bidi="ar-SA"/>
                </w:rPr>
                <w:fldChar w:fldCharType="end"/>
              </w:r>
            </w:p>
          </w:sdtContent>
        </w:sdt>
      </w:tc>
    </w:tr>
    <w:tr>
      <w:trPr>
        <w:trHeight w:val="281" w:hRule="atLeast"/>
      </w:trPr>
      <w:tc>
        <w:tcPr>
          <w:tcW w:w="9353" w:type="dxa"/>
          <w:gridSpan w:val="2"/>
          <w:tcBorders>
            <w:top w:val="nil"/>
            <w:left w:val="nil"/>
            <w:right w:val="nil"/>
          </w:tcBorders>
        </w:tcPr>
        <w:p>
          <w:pPr>
            <w:pStyle w:val="Header"/>
            <w:widowControl w:val="false"/>
            <w:spacing w:before="0" w:after="0"/>
            <w:jc w:val="both"/>
            <w:rPr>
              <w:rFonts w:cs="Arial"/>
              <w:szCs w:val="18"/>
              <w:lang w:val="en-GB"/>
            </w:rPr>
          </w:pPr>
          <w:r>
            <w:rPr>
              <w:rFonts w:cs="Arial"/>
              <w:kern w:val="0"/>
              <w:szCs w:val="18"/>
              <w:lang w:val="en-GB" w:eastAsia="en-US" w:bidi="ar-SA"/>
            </w:rPr>
            <w:t>Distribution Agreement Anandic / Viamed_LTD_UK181223</w:t>
          </w:r>
        </w:p>
      </w:tc>
    </w:tr>
  </w:tbl>
  <w:p>
    <w:pPr>
      <w:pStyle w:val="Header"/>
      <w:jc w:val="right"/>
      <w:rPr>
        <w:b/>
        <w:b/>
        <w:lang w:val="en-GB"/>
      </w:rPr>
    </w:pPr>
    <w:r>
      <w:rPr>
        <w:b/>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923"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3686"/>
      <w:gridCol w:w="6236"/>
    </w:tblGrid>
    <w:tr>
      <w:trPr>
        <w:cantSplit w:val="true"/>
      </w:trPr>
      <w:tc>
        <w:tcPr>
          <w:tcW w:w="3686" w:type="dxa"/>
          <w:tcBorders>
            <w:top w:val="nil"/>
            <w:left w:val="nil"/>
            <w:bottom w:val="nil"/>
            <w:right w:val="nil"/>
          </w:tcBorders>
        </w:tcPr>
        <w:p>
          <w:pPr>
            <w:pStyle w:val="Header"/>
            <w:widowControl w:val="false"/>
            <w:spacing w:before="0" w:after="0"/>
            <w:jc w:val="both"/>
            <w:rPr>
              <w:rFonts w:cs="font292"/>
              <w:kern w:val="0"/>
              <w:szCs w:val="24"/>
              <w:lang w:val="de-CH" w:eastAsia="en-US" w:bidi="ar-SA"/>
            </w:rPr>
          </w:pPr>
          <w:r>
            <w:rPr>
              <w:rFonts w:cs="font292"/>
              <w:kern w:val="0"/>
              <w:szCs w:val="24"/>
              <w:lang w:val="de-CH" w:eastAsia="en-US" w:bidi="ar-SA"/>
            </w:rPr>
          </w:r>
        </w:p>
      </w:tc>
      <w:tc>
        <w:tcPr>
          <w:tcW w:w="6236" w:type="dxa"/>
          <w:tcBorders>
            <w:top w:val="nil"/>
            <w:left w:val="nil"/>
            <w:bottom w:val="nil"/>
            <w:right w:val="nil"/>
          </w:tcBorders>
        </w:tcPr>
        <w:p>
          <w:pPr>
            <w:pStyle w:val="Header"/>
            <w:widowControl w:val="false"/>
            <w:spacing w:before="0" w:after="0"/>
            <w:jc w:val="both"/>
            <w:rPr>
              <w:rFonts w:cs="font292"/>
              <w:kern w:val="0"/>
              <w:szCs w:val="24"/>
              <w:lang w:val="de-CH" w:eastAsia="en-US" w:bidi="ar-SA"/>
            </w:rPr>
          </w:pPr>
          <w:r>
            <w:rPr>
              <w:rFonts w:cs="font292"/>
              <w:kern w:val="0"/>
              <w:szCs w:val="24"/>
              <w:lang w:val="de-CH" w:eastAsia="en-US" w:bidi="ar-SA"/>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35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7796"/>
      <w:gridCol w:w="1557"/>
    </w:tblGrid>
    <w:tr>
      <w:trPr>
        <w:trHeight w:val="290" w:hRule="atLeast"/>
      </w:trPr>
      <w:tc>
        <w:tcPr>
          <w:tcW w:w="7796" w:type="dxa"/>
          <w:tcBorders>
            <w:top w:val="nil"/>
            <w:left w:val="nil"/>
            <w:bottom w:val="nil"/>
            <w:right w:val="nil"/>
          </w:tcBorders>
        </w:tcPr>
        <w:p>
          <w:pPr>
            <w:pStyle w:val="Header"/>
            <w:widowControl w:val="false"/>
            <w:spacing w:before="0" w:after="0"/>
            <w:jc w:val="both"/>
            <w:rPr>
              <w:rFonts w:cs="Arial"/>
              <w:szCs w:val="18"/>
            </w:rPr>
          </w:pPr>
          <w:r>
            <w:rPr>
              <w:rFonts w:cs="Arial"/>
              <w:szCs w:val="18"/>
            </w:rPr>
          </w:r>
        </w:p>
      </w:tc>
      <w:tc>
        <w:tcPr>
          <w:tcW w:w="1557" w:type="dxa"/>
          <w:tcBorders>
            <w:top w:val="nil"/>
            <w:left w:val="nil"/>
            <w:bottom w:val="nil"/>
            <w:right w:val="nil"/>
          </w:tcBorders>
        </w:tcPr>
        <w:sdt>
          <w:sdtPr>
            <w:docPartObj>
              <w:docPartGallery w:val="Page Numbers (Top of Page)"/>
              <w:docPartUnique w:val="true"/>
            </w:docPartObj>
            <w:id w:val="1811821209"/>
          </w:sdtPr>
          <w:sdtContent>
            <w:p>
              <w:pPr>
                <w:pStyle w:val="Header"/>
                <w:widowControl w:val="false"/>
                <w:spacing w:before="0" w:after="0"/>
                <w:jc w:val="right"/>
                <w:rPr>
                  <w:rFonts w:cs="Arial"/>
                  <w:lang w:val="de-DE"/>
                </w:rPr>
              </w:pPr>
              <w:r>
                <w:rPr>
                  <w:rFonts w:cs="Arial"/>
                  <w:kern w:val="0"/>
                  <w:szCs w:val="18"/>
                  <w:lang w:val="de-DE" w:eastAsia="en-US" w:bidi="ar-SA"/>
                </w:rPr>
                <w:fldChar w:fldCharType="begin"/>
              </w:r>
              <w:r>
                <w:rPr>
                  <w:kern w:val="0"/>
                  <w:szCs w:val="18"/>
                  <w:rFonts w:cs="Arial"/>
                  <w:lang w:val="de-DE" w:eastAsia="en-US" w:bidi="ar-SA"/>
                </w:rPr>
                <w:instrText xml:space="preserve"> PAGE </w:instrText>
              </w:r>
              <w:r>
                <w:rPr>
                  <w:kern w:val="0"/>
                  <w:szCs w:val="18"/>
                  <w:rFonts w:cs="Arial"/>
                  <w:lang w:val="de-DE" w:eastAsia="en-US" w:bidi="ar-SA"/>
                </w:rPr>
                <w:fldChar w:fldCharType="separate"/>
              </w:r>
              <w:r>
                <w:rPr>
                  <w:kern w:val="0"/>
                  <w:szCs w:val="18"/>
                  <w:rFonts w:cs="Arial"/>
                  <w:lang w:val="de-DE" w:eastAsia="en-US" w:bidi="ar-SA"/>
                </w:rPr>
                <w:t>6</w:t>
              </w:r>
              <w:r>
                <w:rPr>
                  <w:kern w:val="0"/>
                  <w:szCs w:val="18"/>
                  <w:rFonts w:cs="Arial"/>
                  <w:lang w:val="de-DE" w:eastAsia="en-US" w:bidi="ar-SA"/>
                </w:rPr>
                <w:fldChar w:fldCharType="end"/>
              </w:r>
              <w:r>
                <w:rPr>
                  <w:rFonts w:cs="Arial"/>
                  <w:kern w:val="0"/>
                  <w:szCs w:val="18"/>
                  <w:lang w:val="de-DE" w:eastAsia="en-US" w:bidi="ar-SA"/>
                </w:rPr>
                <w:t xml:space="preserve"> </w:t>
              </w:r>
              <w:r>
                <w:rPr>
                  <w:rFonts w:cs="Arial"/>
                  <w:kern w:val="0"/>
                  <w:szCs w:val="18"/>
                  <w:lang w:val="de-DE" w:eastAsia="en-US" w:bidi="ar-SA"/>
                </w:rPr>
                <w:t xml:space="preserve">/ </w:t>
              </w:r>
              <w:r>
                <w:fldChar w:fldCharType="begin"/>
              </w:r>
              <w:r>
                <w:rPr>
                  <w:kern w:val="0"/>
                  <w:szCs w:val="18"/>
                  <w:rFonts w:cs="Arial"/>
                  <w:lang w:val="de-DE" w:eastAsia="en-US" w:bidi="ar-SA"/>
                </w:rPr>
                <w:instrText xml:space="preserve">SECTIONPAGES   \* MERGEFORMAT</w:instrText>
              </w:r>
              <w:r>
                <w:rPr>
                  <w:rFonts w:cs="Arial"/>
                  <w:kern w:val="0"/>
                  <w:szCs w:val="18"/>
                  <w:lang w:val="de-DE" w:eastAsia="en-US" w:bidi="ar-SA"/>
                </w:rPr>
              </w:r>
              <w:r>
                <w:rPr>
                  <w:kern w:val="0"/>
                  <w:szCs w:val="18"/>
                  <w:rFonts w:cs="Arial"/>
                  <w:lang w:val="de-DE" w:eastAsia="en-US" w:bidi="ar-SA"/>
                </w:rPr>
                <w:fldChar w:fldCharType="separate"/>
              </w:r>
              <w:r>
                <w:rPr>
                  <w:rFonts w:cs="Arial"/>
                  <w:kern w:val="0"/>
                  <w:szCs w:val="18"/>
                  <w:lang w:val="de-DE" w:eastAsia="en-US" w:bidi="ar-SA"/>
                </w:rPr>
              </w:r>
              <w:r>
                <w:rPr>
                  <w:rFonts w:cs="Arial"/>
                  <w:smallCaps/>
                  <w:kern w:val="0"/>
                  <w:szCs w:val="18"/>
                  <w:lang w:val="de-CH" w:eastAsia="en-US" w:bidi="ar-SA"/>
                </w:rPr>
                <w:t>6</w:t>
              </w:r>
              <w:r>
                <w:rPr>
                  <w:rFonts w:cs="Arial"/>
                  <w:kern w:val="0"/>
                  <w:szCs w:val="18"/>
                  <w:lang w:val="de-DE" w:eastAsia="en-US" w:bidi="ar-SA"/>
                </w:rPr>
              </w:r>
              <w:r>
                <w:rPr>
                  <w:kern w:val="0"/>
                  <w:szCs w:val="18"/>
                  <w:rFonts w:cs="Arial"/>
                  <w:lang w:val="de-DE" w:eastAsia="en-US" w:bidi="ar-SA"/>
                </w:rPr>
                <w:fldChar w:fldCharType="end"/>
              </w:r>
            </w:p>
          </w:sdtContent>
        </w:sdt>
      </w:tc>
    </w:tr>
    <w:tr>
      <w:trPr>
        <w:trHeight w:val="281" w:hRule="atLeast"/>
      </w:trPr>
      <w:tc>
        <w:tcPr>
          <w:tcW w:w="9353" w:type="dxa"/>
          <w:gridSpan w:val="2"/>
          <w:tcBorders>
            <w:top w:val="nil"/>
            <w:left w:val="nil"/>
            <w:right w:val="nil"/>
          </w:tcBorders>
        </w:tcPr>
        <w:p>
          <w:pPr>
            <w:pStyle w:val="Header"/>
            <w:widowControl w:val="false"/>
            <w:spacing w:before="0" w:after="0"/>
            <w:jc w:val="both"/>
            <w:rPr>
              <w:rFonts w:cs="Arial"/>
              <w:szCs w:val="18"/>
              <w:lang w:val="en-US"/>
            </w:rPr>
          </w:pPr>
          <w:r>
            <w:rPr>
              <w:rFonts w:cs="Arial"/>
              <w:kern w:val="0"/>
              <w:szCs w:val="18"/>
              <w:lang w:val="en-US" w:eastAsia="en-US" w:bidi="ar-SA"/>
            </w:rPr>
            <w:t xml:space="preserve">Schedules to Distribution Agreement  Anandic / </w:t>
          </w:r>
          <w:r>
            <w:rPr>
              <w:rFonts w:cs="Arial"/>
              <w:kern w:val="0"/>
              <w:szCs w:val="18"/>
              <w:lang w:val="en-GB" w:eastAsia="en-US" w:bidi="ar-SA"/>
            </w:rPr>
            <w:t>Limas_Group_ROM061223</w:t>
          </w:r>
        </w:p>
      </w:tc>
    </w:tr>
  </w:tbl>
  <w:p>
    <w:pPr>
      <w:pStyle w:val="Header"/>
      <w:jc w:val="right"/>
      <w:rPr>
        <w:b/>
        <w:b/>
        <w:lang w:val="en-US"/>
      </w:rPr>
    </w:pPr>
    <w:r>
      <w:rPr>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left"/>
      <w:pPr>
        <w:tabs>
          <w:tab w:val="num" w:pos="709"/>
        </w:tabs>
        <w:ind w:left="709" w:hanging="709"/>
      </w:pPr>
      <w:rPr/>
    </w:lvl>
    <w:lvl w:ilvl="1">
      <w:start w:val="1"/>
      <w:pStyle w:val="Heading2"/>
      <w:numFmt w:val="upperLetter"/>
      <w:lvlText w:val="%2."/>
      <w:lvlJc w:val="left"/>
      <w:pPr>
        <w:tabs>
          <w:tab w:val="num" w:pos="709"/>
        </w:tabs>
        <w:ind w:left="709" w:hanging="709"/>
      </w:pPr>
      <w:rPr/>
    </w:lvl>
    <w:lvl w:ilvl="2">
      <w:start w:val="1"/>
      <w:pStyle w:val="Heading3"/>
      <w:numFmt w:val="decimal"/>
      <w:lvlText w:val="%3."/>
      <w:lvlJc w:val="left"/>
      <w:pPr>
        <w:tabs>
          <w:tab w:val="num" w:pos="709"/>
        </w:tabs>
        <w:ind w:left="709" w:hanging="709"/>
      </w:pPr>
      <w:rPr/>
    </w:lvl>
    <w:lvl w:ilvl="3">
      <w:start w:val="1"/>
      <w:pStyle w:val="Heading4"/>
      <w:numFmt w:val="lowerLetter"/>
      <w:lvlText w:val="%4."/>
      <w:lvlJc w:val="left"/>
      <w:pPr>
        <w:tabs>
          <w:tab w:val="num" w:pos="709"/>
        </w:tabs>
        <w:ind w:left="709" w:hanging="709"/>
      </w:pPr>
      <w:rPr/>
    </w:lvl>
    <w:lvl w:ilvl="4">
      <w:start w:val="1"/>
      <w:pStyle w:val="Heading5"/>
      <w:numFmt w:val="lowerRoman"/>
      <w:lvlText w:val="%5."/>
      <w:lvlJc w:val="left"/>
      <w:pPr>
        <w:tabs>
          <w:tab w:val="num" w:pos="709"/>
        </w:tabs>
        <w:ind w:left="709" w:hanging="709"/>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
    <w:lvl w:ilvl="0">
      <w:start w:val="1"/>
      <w:numFmt w:val="decimal"/>
      <w:lvlText w:val="%1"/>
      <w:lvlJc w:val="left"/>
      <w:pPr>
        <w:tabs>
          <w:tab w:val="num" w:pos="0"/>
        </w:tabs>
        <w:ind w:left="851" w:hanging="851"/>
      </w:pPr>
      <w:rPr>
        <w:smallCaps w:val="false"/>
        <w:caps w:val="false"/>
        <w:dstrike w:val="false"/>
        <w:strike w:val="false"/>
        <w:vertAlign w:val="baseline"/>
        <w:position w:val="0"/>
        <w:sz w:val="24"/>
        <w:sz w:val="24"/>
        <w:spacing w:val="0"/>
        <w:i w:val="false"/>
        <w:u w:val="none"/>
        <w:b w:val="false"/>
        <w:kern w:val="0"/>
        <w:effect w:val="none"/>
        <w:iCs w:val="false"/>
        <w:bCs w:val="false"/>
        <w:em w:val="none"/>
        <w:vanish w:val="false"/>
        <w:color w:val="000000"/>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0"/>
      <w:numFmt w:val="bullet"/>
      <w:lvlText w:val="–"/>
      <w:lvlJc w:val="left"/>
      <w:pPr>
        <w:tabs>
          <w:tab w:val="num" w:pos="0"/>
        </w:tabs>
        <w:ind w:left="3884" w:hanging="360"/>
      </w:pPr>
      <w:rPr>
        <w:rFonts w:ascii="Calibri" w:hAnsi="Calibri" w:cs="Calibri" w:hint="default"/>
      </w:rPr>
    </w:lvl>
    <w:lvl w:ilvl="5">
      <w:start w:val="0"/>
      <w:numFmt w:val="bullet"/>
      <w:lvlText w:val="-"/>
      <w:lvlJc w:val="left"/>
      <w:pPr>
        <w:tabs>
          <w:tab w:val="num" w:pos="0"/>
        </w:tabs>
        <w:ind w:left="4784" w:hanging="360"/>
      </w:pPr>
      <w:rPr>
        <w:rFonts w:ascii="Calibri" w:hAnsi="Calibri" w:cs="Calibri" w:hint="default"/>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3">
    <w:lvl w:ilvl="0">
      <w:start w:val="1"/>
      <w:numFmt w:val="bullet"/>
      <w:lvlText w:val=""/>
      <w:lvlJc w:val="left"/>
      <w:pPr>
        <w:tabs>
          <w:tab w:val="num" w:pos="0"/>
        </w:tabs>
        <w:ind w:left="1571" w:hanging="360"/>
      </w:pPr>
      <w:rPr>
        <w:rFonts w:ascii="Wingdings" w:hAnsi="Wingdings" w:cs="Wingdings"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
    <w:lvl w:ilvl="0">
      <w:start w:val="1"/>
      <w:numFmt w:val="decimalZero"/>
      <w:lvlText w:val="EOA %1   - "/>
      <w:lvlJc w:val="left"/>
      <w:pPr>
        <w:tabs>
          <w:tab w:val="num" w:pos="0"/>
        </w:tabs>
        <w:ind w:left="1571" w:hanging="360"/>
      </w:pPr>
      <w:rPr>
        <w:smallCaps w:val="false"/>
        <w:caps w:val="false"/>
        <w:dstrike w:val="false"/>
        <w:strike w:val="false"/>
        <w:vertAlign w:val="baseline"/>
        <w:position w:val="0"/>
        <w:sz w:val="24"/>
        <w:sz w:val="24"/>
        <w:spacing w:val="0"/>
        <w:i w:val="false"/>
        <w:u w:val="none"/>
        <w:b w:val="false"/>
        <w:kern w:val="0"/>
        <w:effect w:val="none"/>
        <w:iCs w:val="false"/>
        <w:bCs w:val="false"/>
        <w:em w:val="none"/>
        <w:vanish w:val="false"/>
        <w:color w:val="000000"/>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
    <w:lvl w:ilvl="0">
      <w:start w:val="1"/>
      <w:numFmt w:val="decimal"/>
      <w:lvlText w:val="%1."/>
      <w:lvlJc w:val="left"/>
      <w:pPr>
        <w:tabs>
          <w:tab w:val="num" w:pos="0"/>
        </w:tabs>
        <w:ind w:left="709" w:hanging="709"/>
      </w:pPr>
      <w:rPr/>
    </w:lvl>
    <w:lvl w:ilvl="1">
      <w:start w:val="1"/>
      <w:numFmt w:val="decimal"/>
      <w:lvlText w:val="%1.%2."/>
      <w:lvlJc w:val="left"/>
      <w:pPr>
        <w:tabs>
          <w:tab w:val="num" w:pos="0"/>
        </w:tabs>
        <w:ind w:left="709" w:hanging="709"/>
      </w:pPr>
      <w:rPr/>
    </w:lvl>
    <w:lvl w:ilvl="2">
      <w:start w:val="1"/>
      <w:numFmt w:val="decimal"/>
      <w:lvlText w:val="%1.%2.%3."/>
      <w:lvlJc w:val="left"/>
      <w:pPr>
        <w:tabs>
          <w:tab w:val="num" w:pos="0"/>
        </w:tabs>
        <w:ind w:left="709" w:hanging="709"/>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2126" w:hanging="708"/>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18" w:hanging="709"/>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lowerLetter"/>
      <w:lvlText w:val="%4)"/>
      <w:lvlJc w:val="left"/>
      <w:pPr>
        <w:tabs>
          <w:tab w:val="num" w:pos="0"/>
        </w:tabs>
        <w:ind w:left="1418" w:hanging="709"/>
      </w:pPr>
      <w:rPr/>
    </w:lvl>
    <w:lvl w:ilvl="4">
      <w:start w:val="1"/>
      <w:numFmt w:val="lowerRoman"/>
      <w:lvlText w:val="%5)"/>
      <w:lvlJc w:val="left"/>
      <w:pPr>
        <w:tabs>
          <w:tab w:val="num" w:pos="0"/>
        </w:tabs>
        <w:ind w:left="1418" w:hanging="709"/>
      </w:pPr>
      <w:rPr/>
    </w:lvl>
    <w:lvl w:ilvl="5">
      <w:start w:val="1"/>
      <w:numFmt w:val="none"/>
      <w:suff w:val="nothing"/>
      <w:lvlText w:val=""/>
      <w:lvlJc w:val="left"/>
      <w:pPr>
        <w:tabs>
          <w:tab w:val="num" w:pos="0"/>
        </w:tabs>
        <w:ind w:left="1418" w:hanging="709"/>
      </w:pPr>
      <w:rPr/>
    </w:lvl>
    <w:lvl w:ilvl="6">
      <w:start w:val="1"/>
      <w:numFmt w:val="lowerLetter"/>
      <w:lvlText w:val="%7."/>
      <w:lvlJc w:val="left"/>
      <w:pPr>
        <w:tabs>
          <w:tab w:val="num" w:pos="0"/>
        </w:tabs>
        <w:ind w:left="0" w:hanging="720"/>
      </w:pPr>
      <w:rPr/>
    </w:lvl>
    <w:lvl w:ilvl="7">
      <w:start w:val="27"/>
      <w:numFmt w:val="lowerLetter"/>
      <w:lvlText w:val="%8."/>
      <w:lvlJc w:val="left"/>
      <w:pPr>
        <w:tabs>
          <w:tab w:val="num" w:pos="0"/>
        </w:tabs>
        <w:ind w:left="0" w:hanging="720"/>
      </w:pPr>
      <w:rPr/>
    </w:lvl>
    <w:lvl w:ilvl="8">
      <w:start w:val="1"/>
      <w:numFmt w:val="bullet"/>
      <w:lvlText w:val="o"/>
      <w:lvlJc w:val="left"/>
      <w:pPr>
        <w:tabs>
          <w:tab w:val="num" w:pos="0"/>
        </w:tabs>
        <w:ind w:left="0" w:hanging="720"/>
      </w:pPr>
      <w:rPr>
        <w:rFonts w:ascii="OpenSymbol" w:hAnsi="OpenSymbol" w:cs="OpenSymbol" w:hint="default"/>
      </w:rPr>
    </w:lvl>
  </w:abstractNum>
  <w:abstractNum w:abstractNumId="10">
    <w:lvl w:ilvl="0">
      <w:start w:val="1"/>
      <w:numFmt w:val="bullet"/>
      <w:lvlText w:val=""/>
      <w:lvlJc w:val="left"/>
      <w:pPr>
        <w:tabs>
          <w:tab w:val="num" w:pos="0"/>
        </w:tabs>
        <w:ind w:left="709" w:hanging="709"/>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1418"/>
        </w:tabs>
        <w:ind w:left="1418" w:hanging="709"/>
      </w:pPr>
      <w:rPr/>
    </w:lvl>
    <w:lvl w:ilvl="1">
      <w:start w:val="1"/>
      <w:numFmt w:val="decimal"/>
      <w:lvlText w:val="%1.%2."/>
      <w:lvlJc w:val="left"/>
      <w:pPr>
        <w:tabs>
          <w:tab w:val="num" w:pos="1418"/>
        </w:tabs>
        <w:ind w:left="1418" w:hanging="709"/>
      </w:pPr>
      <w:rPr/>
    </w:lvl>
    <w:lvl w:ilvl="2">
      <w:start w:val="1"/>
      <w:numFmt w:val="decimal"/>
      <w:lvlText w:val="%1.%2.%3."/>
      <w:lvlJc w:val="left"/>
      <w:pPr>
        <w:tabs>
          <w:tab w:val="num" w:pos="1418"/>
        </w:tabs>
        <w:ind w:left="1418" w:hanging="709"/>
      </w:pPr>
      <w:rPr/>
    </w:lvl>
    <w:lvl w:ilvl="3">
      <w:start w:val="1"/>
      <w:numFmt w:val="lowerLetter"/>
      <w:lvlText w:val="%4)"/>
      <w:lvlJc w:val="left"/>
      <w:pPr>
        <w:tabs>
          <w:tab w:val="num" w:pos="2126"/>
        </w:tabs>
        <w:ind w:left="2126" w:hanging="708"/>
      </w:pPr>
      <w:rPr/>
    </w:lvl>
    <w:lvl w:ilvl="4">
      <w:start w:val="1"/>
      <w:numFmt w:val="lowerRoman"/>
      <w:lvlText w:val="%5)"/>
      <w:lvlJc w:val="left"/>
      <w:pPr>
        <w:tabs>
          <w:tab w:val="num" w:pos="2126"/>
        </w:tabs>
        <w:ind w:left="2126" w:hanging="708"/>
      </w:pPr>
      <w:rPr/>
    </w:lvl>
    <w:lvl w:ilvl="5">
      <w:start w:val="1"/>
      <w:numFmt w:val="lowerRoman"/>
      <w:lvlText w:val="(%6)"/>
      <w:lvlJc w:val="left"/>
      <w:pPr>
        <w:tabs>
          <w:tab w:val="num" w:pos="2126"/>
        </w:tabs>
        <w:ind w:left="2126" w:hanging="708"/>
      </w:pPr>
      <w:rPr/>
    </w:lvl>
    <w:lvl w:ilvl="6">
      <w:start w:val="1"/>
      <w:numFmt w:val="lowerLetter"/>
      <w:lvlText w:val="%7."/>
      <w:lvlJc w:val="left"/>
      <w:pPr>
        <w:tabs>
          <w:tab w:val="num" w:pos="1440"/>
        </w:tabs>
        <w:ind w:left="1440" w:hanging="720"/>
      </w:pPr>
      <w:rPr/>
    </w:lvl>
    <w:lvl w:ilvl="7">
      <w:start w:val="27"/>
      <w:numFmt w:val="lowerLetter"/>
      <w:lvlText w:val="%8."/>
      <w:lvlJc w:val="left"/>
      <w:pPr>
        <w:tabs>
          <w:tab w:val="num" w:pos="1440"/>
        </w:tabs>
        <w:ind w:left="1440" w:hanging="720"/>
      </w:pPr>
      <w:rPr/>
    </w:lvl>
    <w:lvl w:ilvl="8">
      <w:start w:val="1"/>
      <w:numFmt w:val="bullet"/>
      <w:lvlText w:val="o"/>
      <w:lvlJc w:val="left"/>
      <w:pPr>
        <w:tabs>
          <w:tab w:val="num" w:pos="1440"/>
        </w:tabs>
        <w:ind w:left="1440" w:hanging="720"/>
      </w:pPr>
      <w:rPr>
        <w:rFonts w:ascii="OpenSymbol" w:hAnsi="OpenSymbol" w:cs="OpenSymbol" w:hint="default"/>
      </w:rPr>
    </w:lvl>
  </w:abstractNum>
  <w:abstractNum w:abstractNumId="12">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13">
    <w:lvl w:ilvl="0">
      <w:start w:val="1"/>
      <w:numFmt w:val="upperLetter"/>
      <w:lvlText w:val="(%1)"/>
      <w:lvlJc w:val="left"/>
      <w:pPr>
        <w:tabs>
          <w:tab w:val="num" w:pos="0"/>
        </w:tabs>
        <w:ind w:left="709" w:hanging="709"/>
      </w:pPr>
      <w:rPr>
        <w:szCs w:val="24"/>
        <w:rFonts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15">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357"/>
        </w:tabs>
        <w:ind w:left="357" w:hanging="35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360"/>
        </w:tabs>
        <w:ind w:left="357" w:hanging="35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suff w:val="nothing"/>
      <w:lvlText w:val="Exh. C-%1"/>
      <w:lvlJc w:val="left"/>
      <w:pPr>
        <w:tabs>
          <w:tab w:val="num" w:pos="0"/>
        </w:tabs>
        <w:ind w:left="1984" w:hanging="1275"/>
      </w:pPr>
      <w:rPr>
        <w:b/>
      </w:rPr>
    </w:lvl>
    <w:lvl w:ilvl="1">
      <w:start w:val="1"/>
      <w:numFmt w:val="lowerLetter"/>
      <w:lvlText w:val="%2)"/>
      <w:lvlJc w:val="left"/>
      <w:pPr>
        <w:tabs>
          <w:tab w:val="num" w:pos="720"/>
        </w:tabs>
        <w:ind w:left="720" w:hanging="360"/>
      </w:pPr>
      <w:rPr/>
    </w:lvl>
    <w:lvl w:ilvl="2">
      <w:start w:val="1"/>
      <w:numFmt w:val="lowerRoman"/>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4">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5">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6">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upperRoman"/>
      <w:lvlText w:val="%1."/>
      <w:lvlJc w:val="left"/>
      <w:pPr>
        <w:tabs>
          <w:tab w:val="num" w:pos="709"/>
        </w:tabs>
        <w:ind w:left="709" w:hanging="709"/>
      </w:pPr>
      <w:rPr/>
    </w:lvl>
    <w:lvl w:ilvl="1">
      <w:start w:val="1"/>
      <w:numFmt w:val="upperLetter"/>
      <w:lvlText w:val="%2."/>
      <w:lvlJc w:val="left"/>
      <w:pPr>
        <w:tabs>
          <w:tab w:val="num" w:pos="709"/>
        </w:tabs>
        <w:ind w:left="709" w:hanging="709"/>
      </w:pPr>
      <w:rPr/>
    </w:lvl>
    <w:lvl w:ilvl="2">
      <w:start w:val="1"/>
      <w:numFmt w:val="decimal"/>
      <w:lvlText w:val="%3."/>
      <w:lvlJc w:val="left"/>
      <w:pPr>
        <w:tabs>
          <w:tab w:val="num" w:pos="709"/>
        </w:tabs>
        <w:ind w:left="709" w:hanging="709"/>
      </w:pPr>
      <w:rPr/>
    </w:lvl>
    <w:lvl w:ilvl="3">
      <w:start w:val="1"/>
      <w:numFmt w:val="decimal"/>
      <w:lvlText w:val="%3.%4"/>
      <w:lvlJc w:val="left"/>
      <w:pPr>
        <w:tabs>
          <w:tab w:val="num" w:pos="709"/>
        </w:tabs>
        <w:ind w:left="709" w:hanging="709"/>
      </w:pPr>
      <w:rPr/>
    </w:lvl>
    <w:lvl w:ilvl="4">
      <w:start w:val="1"/>
      <w:numFmt w:val="decimal"/>
      <w:lvlText w:val="%3.%4.%5"/>
      <w:lvlJc w:val="left"/>
      <w:pPr>
        <w:tabs>
          <w:tab w:val="num" w:pos="709"/>
        </w:tabs>
        <w:ind w:left="709" w:hanging="709"/>
      </w:pPr>
      <w:rPr/>
    </w:lvl>
    <w:lvl w:ilvl="5">
      <w:start w:val="1"/>
      <w:numFmt w:val="decimal"/>
      <w:lvlText w:val="%3.%4.%5.%6"/>
      <w:lvlJc w:val="left"/>
      <w:pPr>
        <w:tabs>
          <w:tab w:val="num" w:pos="709"/>
        </w:tabs>
        <w:ind w:left="709" w:hanging="709"/>
      </w:pPr>
      <w:rPr/>
    </w:lvl>
    <w:lvl w:ilvl="6">
      <w:start w:val="1"/>
      <w:numFmt w:val="lowerLetter"/>
      <w:lvlText w:val="%7."/>
      <w:lvlJc w:val="left"/>
      <w:pPr>
        <w:tabs>
          <w:tab w:val="num" w:pos="709"/>
        </w:tabs>
        <w:ind w:left="709" w:hanging="709"/>
      </w:pPr>
      <w:rPr/>
    </w:lvl>
    <w:lvl w:ilvl="7">
      <w:start w:val="1"/>
      <w:numFmt w:val="lowerRoman"/>
      <w:lvlText w:val="%8."/>
      <w:lvlJc w:val="left"/>
      <w:pPr>
        <w:tabs>
          <w:tab w:val="num" w:pos="709"/>
        </w:tabs>
        <w:ind w:left="709" w:hanging="709"/>
      </w:pPr>
      <w:rPr/>
    </w:lvl>
    <w:lvl w:ilvl="8">
      <w:start w:val="1"/>
      <w:numFmt w:val="none"/>
      <w:suff w:val="nothing"/>
      <w:lvlText w:val="%9"/>
      <w:lvlJc w:val="left"/>
      <w:pPr>
        <w:tabs>
          <w:tab w:val="num" w:pos="0"/>
        </w:tabs>
        <w:ind w:left="0" w:hanging="0"/>
      </w:pPr>
      <w:rPr/>
    </w:lvl>
  </w:abstractNum>
  <w:abstractNum w:abstractNumId="28">
    <w:lvl w:ilvl="0">
      <w:start w:val="1"/>
      <w:numFmt w:val="decimal"/>
      <w:lvlText w:val="%1"/>
      <w:lvlJc w:val="left"/>
      <w:pPr>
        <w:tabs>
          <w:tab w:val="num" w:pos="0"/>
        </w:tabs>
        <w:ind w:left="709" w:hanging="709"/>
      </w:pPr>
      <w:rPr>
        <w:sz w:val="20"/>
        <w:szCs w:val="20"/>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9">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34">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35">
    <w:lvl w:ilvl="0">
      <w:start w:val="1"/>
      <w:numFmt w:val="bullet"/>
      <w:lvlText w:val="-"/>
      <w:lvlJc w:val="left"/>
      <w:pPr>
        <w:tabs>
          <w:tab w:val="num" w:pos="0"/>
        </w:tabs>
        <w:ind w:left="357" w:hanging="357"/>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decimal"/>
      <w:lvlText w:val="%1."/>
      <w:lvlJc w:val="left"/>
      <w:pPr>
        <w:tabs>
          <w:tab w:val="num" w:pos="720"/>
        </w:tabs>
        <w:ind w:left="720" w:hanging="720"/>
      </w:pPr>
      <w:rPr>
        <w:sz w:val="24"/>
        <w:szCs w:val="24"/>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3"/>
      <w:lvlJc w:val="left"/>
      <w:pPr>
        <w:tabs>
          <w:tab w:val="num" w:pos="720"/>
        </w:tabs>
        <w:ind w:left="720" w:hanging="720"/>
      </w:pPr>
      <w:rPr>
        <w:rFonts w:cs="Times New Roman"/>
      </w:rPr>
    </w:lvl>
    <w:lvl w:ilvl="3">
      <w:start w:val="1"/>
      <w:numFmt w:val="decimal"/>
      <w:lvlText w:val="%1.%2.%4"/>
      <w:lvlJc w:val="left"/>
      <w:pPr>
        <w:tabs>
          <w:tab w:val="num" w:pos="720"/>
        </w:tabs>
        <w:ind w:left="720" w:hanging="720"/>
      </w:pPr>
      <w:rPr>
        <w:rFonts w:cs="Times New Roman"/>
      </w:rPr>
    </w:lvl>
    <w:lvl w:ilvl="4">
      <w:start w:val="1"/>
      <w:numFmt w:val="decimal"/>
      <w:lvlText w:val="%1.%3.%5"/>
      <w:lvlJc w:val="left"/>
      <w:pPr>
        <w:tabs>
          <w:tab w:val="num" w:pos="720"/>
        </w:tabs>
        <w:ind w:left="720" w:hanging="720"/>
      </w:pPr>
      <w:rPr>
        <w:rFonts w:cs="Times New Roman"/>
      </w:rPr>
    </w:lvl>
    <w:lvl w:ilvl="5">
      <w:start w:val="1"/>
      <w:numFmt w:val="decimal"/>
      <w:lvlText w:val="%1.%2.%6"/>
      <w:lvlJc w:val="left"/>
      <w:pPr>
        <w:tabs>
          <w:tab w:val="num" w:pos="720"/>
        </w:tabs>
        <w:ind w:left="720" w:hanging="720"/>
      </w:pPr>
      <w:rPr>
        <w:rFonts w:cs="Times New Roman"/>
      </w:rPr>
    </w:lvl>
    <w:lvl w:ilvl="6">
      <w:start w:val="1"/>
      <w:numFmt w:val="decimal"/>
      <w:lvlText w:val="%1.%2.%4.%7"/>
      <w:lvlJc w:val="left"/>
      <w:pPr>
        <w:tabs>
          <w:tab w:val="num" w:pos="720"/>
        </w:tabs>
        <w:ind w:left="720" w:hanging="720"/>
      </w:pPr>
      <w:rPr>
        <w:rFonts w:cs="Times New Roman"/>
      </w:rPr>
    </w:lvl>
    <w:lvl w:ilvl="7">
      <w:start w:val="1"/>
      <w:numFmt w:val="lowerLetter"/>
      <w:lvlText w:val="(%8)"/>
      <w:lvlJc w:val="left"/>
      <w:pPr>
        <w:tabs>
          <w:tab w:val="num" w:pos="1077"/>
        </w:tabs>
        <w:ind w:left="1077" w:hanging="357"/>
      </w:pPr>
      <w:rPr>
        <w:rFonts w:cs="Times New Roman"/>
      </w:rPr>
    </w:lvl>
    <w:lvl w:ilvl="8">
      <w:start w:val="1"/>
      <w:numFmt w:val="lowerRoman"/>
      <w:lvlText w:val="(%9)"/>
      <w:lvlJc w:val="left"/>
      <w:pPr>
        <w:tabs>
          <w:tab w:val="num" w:pos="1797"/>
        </w:tabs>
        <w:ind w:left="1559" w:hanging="482"/>
      </w:pPr>
      <w:rPr>
        <w:rFonts w:cs="Times New Roman"/>
      </w:rPr>
    </w:lvl>
  </w:abstractNum>
  <w:abstractNum w:abstractNumId="38">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39">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40">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41">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42">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43">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44">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12"/>
    <w:lvlOverride w:ilvl="0"/>
    <w:lvlOverride w:ilvl="1"/>
    <w:lvlOverride w:ilvl="2"/>
    <w:lvlOverride w:ilvl="3"/>
    <w:lvlOverride w:ilvl="4">
      <w:startOverride w:val="1"/>
    </w:lvlOverride>
  </w:num>
  <w:num w:numId="46">
    <w:abstractNumId w:val="12"/>
  </w:num>
  <w:num w:numId="47">
    <w:abstractNumId w:val="12"/>
  </w:num>
  <w:num w:numId="48">
    <w:abstractNumId w:val="12"/>
    <w:lvlOverride w:ilvl="0"/>
    <w:lvlOverride w:ilvl="1"/>
    <w:lvlOverride w:ilvl="2"/>
    <w:lvlOverride w:ilvl="3"/>
    <w:lvlOverride w:ilvl="4">
      <w:startOverride w:val="1"/>
    </w:lvlOverride>
  </w:num>
  <w:num w:numId="49">
    <w:abstractNumId w:val="12"/>
  </w:num>
  <w:num w:numId="50">
    <w:abstractNumId w:val="12"/>
    <w:lvlOverride w:ilvl="0"/>
    <w:lvlOverride w:ilvl="1"/>
    <w:lvlOverride w:ilvl="2"/>
    <w:lvlOverride w:ilvl="3"/>
    <w:lvlOverride w:ilvl="4">
      <w:startOverride w:val="1"/>
    </w:lvlOverride>
  </w:num>
  <w:num w:numId="51">
    <w:abstractNumId w:val="12"/>
    <w:lvlOverride w:ilvl="0"/>
    <w:lvlOverride w:ilvl="1"/>
    <w:lvlOverride w:ilvl="2"/>
    <w:lvlOverride w:ilvl="3"/>
    <w:lvlOverride w:ilvl="4">
      <w:startOverride w:val="1"/>
    </w:lvlOverride>
  </w:num>
</w:numbering>
</file>

<file path=word/settings.xml><?xml version="1.0" encoding="utf-8"?>
<w:settings xmlns:w="http://schemas.openxmlformats.org/wordprocessingml/2006/main">
  <w:zoom w:percent="160"/>
  <w:defaultTabStop w:val="708"/>
  <w:mailMerge>
    <w:mainDocumentType w:val="formLetters"/>
    <w:dataType w:val="textFile"/>
    <w:query w:val="SELECT * FROM Addresses.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font292" w:eastAsiaTheme="minorHAnsi"/>
        <w:sz w:val="24"/>
        <w:szCs w:val="24"/>
        <w:lang w:val="de-CH"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1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uiPriority="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uiPriority="0"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tLeast" w:line="300" w:before="0" w:after="0"/>
      <w:jc w:val="both"/>
    </w:pPr>
    <w:rPr>
      <w:rFonts w:ascii="Times New Roman" w:hAnsi="Times New Roman" w:eastAsia="Calibri" w:cs="font292" w:eastAsiaTheme="minorHAnsi"/>
      <w:color w:val="auto"/>
      <w:kern w:val="0"/>
      <w:sz w:val="24"/>
      <w:szCs w:val="24"/>
      <w:lang w:val="de-CH" w:eastAsia="en-US" w:bidi="ar-SA"/>
    </w:rPr>
  </w:style>
  <w:style w:type="paragraph" w:styleId="Heading1">
    <w:name w:val="Heading 1"/>
    <w:basedOn w:val="Normal"/>
    <w:next w:val="Normal"/>
    <w:link w:val="Heading1Char"/>
    <w:qFormat/>
    <w:pPr>
      <w:keepNext w:val="true"/>
      <w:keepLines/>
      <w:numPr>
        <w:ilvl w:val="0"/>
        <w:numId w:val="1"/>
      </w:numPr>
      <w:spacing w:lineRule="atLeast" w:line="350" w:before="480" w:after="240"/>
      <w:jc w:val="left"/>
      <w:outlineLvl w:val="0"/>
    </w:pPr>
    <w:rPr>
      <w:rFonts w:eastAsia="Times New Roman"/>
      <w:b/>
      <w:smallCaps/>
      <w:kern w:val="2"/>
      <w:sz w:val="28"/>
      <w:szCs w:val="20"/>
    </w:rPr>
  </w:style>
  <w:style w:type="paragraph" w:styleId="Heading2">
    <w:name w:val="Heading 2"/>
    <w:basedOn w:val="Normal"/>
    <w:next w:val="Normal"/>
    <w:link w:val="Heading2Char"/>
    <w:qFormat/>
    <w:pPr>
      <w:keepNext w:val="true"/>
      <w:numPr>
        <w:ilvl w:val="1"/>
        <w:numId w:val="1"/>
      </w:numPr>
      <w:spacing w:before="360" w:after="240"/>
      <w:jc w:val="left"/>
      <w:outlineLvl w:val="1"/>
    </w:pPr>
    <w:rPr>
      <w:rFonts w:eastAsia="Times New Roman"/>
      <w:b/>
      <w:kern w:val="2"/>
      <w:szCs w:val="20"/>
    </w:rPr>
  </w:style>
  <w:style w:type="paragraph" w:styleId="Heading3">
    <w:name w:val="Heading 3"/>
    <w:basedOn w:val="Normal"/>
    <w:next w:val="Normal"/>
    <w:link w:val="Heading3Char"/>
    <w:qFormat/>
    <w:pPr>
      <w:keepNext w:val="true"/>
      <w:numPr>
        <w:ilvl w:val="2"/>
        <w:numId w:val="1"/>
      </w:numPr>
      <w:spacing w:before="480" w:after="240"/>
      <w:jc w:val="left"/>
      <w:outlineLvl w:val="2"/>
    </w:pPr>
    <w:rPr>
      <w:rFonts w:eastAsia="Times New Roman"/>
      <w:b/>
      <w:i/>
      <w:kern w:val="2"/>
      <w:szCs w:val="20"/>
    </w:rPr>
  </w:style>
  <w:style w:type="paragraph" w:styleId="Heading4">
    <w:name w:val="Heading 4"/>
    <w:basedOn w:val="Normal"/>
    <w:next w:val="Normal"/>
    <w:link w:val="Heading4Char"/>
    <w:qFormat/>
    <w:pPr>
      <w:keepNext w:val="true"/>
      <w:numPr>
        <w:ilvl w:val="3"/>
        <w:numId w:val="1"/>
      </w:numPr>
      <w:spacing w:before="360" w:after="240"/>
      <w:jc w:val="left"/>
      <w:outlineLvl w:val="3"/>
    </w:pPr>
    <w:rPr>
      <w:rFonts w:eastAsia="Times New Roman"/>
      <w:b/>
      <w:i/>
      <w:kern w:val="2"/>
      <w:szCs w:val="20"/>
    </w:rPr>
  </w:style>
  <w:style w:type="paragraph" w:styleId="Heading5">
    <w:name w:val="Heading 5"/>
    <w:basedOn w:val="Normal"/>
    <w:next w:val="Normal"/>
    <w:link w:val="Heading5Char"/>
    <w:qFormat/>
    <w:pPr>
      <w:keepNext w:val="true"/>
      <w:numPr>
        <w:ilvl w:val="4"/>
        <w:numId w:val="1"/>
      </w:numPr>
      <w:spacing w:before="360" w:after="240"/>
      <w:jc w:val="left"/>
      <w:outlineLvl w:val="4"/>
    </w:pPr>
    <w:rPr>
      <w:rFonts w:eastAsia="Times New Roman"/>
      <w:i/>
      <w:kern w:val="2"/>
      <w:szCs w:val="20"/>
    </w:rPr>
  </w:style>
  <w:style w:type="paragraph" w:styleId="Heading6">
    <w:name w:val="Heading 6"/>
    <w:basedOn w:val="Normal"/>
    <w:next w:val="Normal"/>
    <w:link w:val="Heading6Char"/>
    <w:uiPriority w:val="9"/>
    <w:unhideWhenUsed/>
    <w:qFormat/>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unhideWhenUsed/>
    <w:qFormat/>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unhideWhenUsed/>
    <w:qFormat/>
    <w:pPr>
      <w:keepNext w:val="true"/>
      <w:keepLines/>
      <w:spacing w:before="200" w:after="0"/>
      <w:outlineLvl w:val="7"/>
    </w:pPr>
    <w:rPr>
      <w:rFonts w:ascii="Cambria" w:hAnsi="Cambria" w:eastAsia="" w:c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unhideWhenUsed/>
    <w:qFormat/>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19"/>
    <w:qFormat/>
    <w:rPr>
      <w:rFonts w:ascii="Arial" w:hAnsi="Arial" w:eastAsia="Times New Roman"/>
      <w:sz w:val="18"/>
    </w:rPr>
  </w:style>
  <w:style w:type="character" w:styleId="FooterChar" w:customStyle="1">
    <w:name w:val="Footer Char"/>
    <w:basedOn w:val="DefaultParagraphFont"/>
    <w:link w:val="Footer"/>
    <w:uiPriority w:val="99"/>
    <w:qFormat/>
    <w:rPr>
      <w:rFonts w:eastAsia="Times New Roman"/>
      <w:sz w:val="12"/>
    </w:rPr>
  </w:style>
  <w:style w:type="character" w:styleId="BalloonTextChar" w:customStyle="1">
    <w:name w:val="Balloon Text Char"/>
    <w:basedOn w:val="DefaultParagraphFont"/>
    <w:link w:val="BalloonText"/>
    <w:uiPriority w:val="99"/>
    <w:semiHidden/>
    <w:qFormat/>
    <w:rPr>
      <w:rFonts w:ascii="Tahoma" w:hAnsi="Tahoma" w:cs="Tahoma"/>
      <w:sz w:val="16"/>
      <w:szCs w:val="16"/>
    </w:rPr>
  </w:style>
  <w:style w:type="character" w:styleId="HyphenationNorSpacingChar" w:customStyle="1">
    <w:name w:val="Hyphenation_Nor_Spacing Char"/>
    <w:basedOn w:val="DefaultParagraphFont"/>
    <w:link w:val="HyphenationNorSpacing"/>
    <w:qFormat/>
    <w:rPr>
      <w:rFonts w:eastAsia="Times New Roman"/>
    </w:rPr>
  </w:style>
  <w:style w:type="character" w:styleId="BeilageEintragChar" w:customStyle="1">
    <w:name w:val="Beilage_Eintrag Char"/>
    <w:basedOn w:val="DefaultParagraphFont"/>
    <w:link w:val="BeilageEintrag"/>
    <w:qFormat/>
    <w:rPr>
      <w:rFonts w:eastAsia="Times New Roman"/>
    </w:rPr>
  </w:style>
  <w:style w:type="character" w:styleId="BOAbschluss" w:customStyle="1">
    <w:name w:val="BO_Abschluss"/>
    <w:qFormat/>
    <w:rPr>
      <w:vanish w:val="false"/>
      <w:u w:val="none"/>
    </w:rPr>
  </w:style>
  <w:style w:type="character" w:styleId="BOBriefReferenz" w:customStyle="1">
    <w:name w:val="BO_Brief_Referenz"/>
    <w:qFormat/>
    <w:rPr>
      <w:rFonts w:ascii="Times New Roman" w:hAnsi="Times New Roman"/>
      <w:sz w:val="24"/>
      <w:szCs w:val="24"/>
      <w:u w:val="single"/>
    </w:rPr>
  </w:style>
  <w:style w:type="character" w:styleId="BOEintragChar" w:customStyle="1">
    <w:name w:val="BO_Eintrag Char"/>
    <w:basedOn w:val="HyphenationNorSpacingChar"/>
    <w:link w:val="BOEintrag"/>
    <w:qFormat/>
    <w:rPr>
      <w:rFonts w:eastAsia="Times New Roman"/>
    </w:rPr>
  </w:style>
  <w:style w:type="character" w:styleId="BOText" w:customStyle="1">
    <w:name w:val="BO_Text"/>
    <w:qFormat/>
    <w:rPr>
      <w:vanish w:val="false"/>
      <w:u w:val="single"/>
    </w:rPr>
  </w:style>
  <w:style w:type="character" w:styleId="RechtsmaterialEintragChar" w:customStyle="1">
    <w:name w:val="Rechtsmaterial_Eintrag Char"/>
    <w:basedOn w:val="BeilageEintragChar"/>
    <w:link w:val="RechtsmaterialEintrag"/>
    <w:qFormat/>
    <w:rPr>
      <w:rFonts w:eastAsia="Times New Roman"/>
    </w:rPr>
  </w:style>
  <w:style w:type="character" w:styleId="ZeugenaussageEintragChar" w:customStyle="1">
    <w:name w:val="Zeugenaussage_Eintrag Char"/>
    <w:basedOn w:val="RechtsmaterialEintragChar"/>
    <w:link w:val="ZeugenaussageEintrag"/>
    <w:qFormat/>
    <w:rPr>
      <w:rFonts w:eastAsia="Times New Roman"/>
    </w:rPr>
  </w:style>
  <w:style w:type="character" w:styleId="InternetLink">
    <w:name w:val="Hyperlink"/>
    <w:basedOn w:val="DefaultParagraphFont"/>
    <w:uiPriority w:val="99"/>
    <w:unhideWhenUsed/>
    <w:rPr>
      <w:color w:val="auto"/>
      <w:u w:val="single"/>
    </w:rPr>
  </w:style>
  <w:style w:type="character" w:styleId="FootnoteTextChar" w:customStyle="1">
    <w:name w:val="Footnote Text Char"/>
    <w:basedOn w:val="DefaultParagraphFont"/>
    <w:link w:val="Footnote"/>
    <w:uiPriority w:val="99"/>
    <w:qFormat/>
    <w:rPr>
      <w:sz w:val="20"/>
      <w:szCs w:val="20"/>
    </w:rPr>
  </w:style>
  <w:style w:type="character" w:styleId="BodyTextChar" w:customStyle="1">
    <w:name w:val="Body Text Char"/>
    <w:basedOn w:val="DefaultParagraphFont"/>
    <w:uiPriority w:val="99"/>
    <w:semiHidden/>
    <w:qFormat/>
    <w:rPr/>
  </w:style>
  <w:style w:type="character" w:styleId="Heading1Char" w:customStyle="1">
    <w:name w:val="Heading 1 Char"/>
    <w:basedOn w:val="DefaultParagraphFont"/>
    <w:link w:val="Heading1"/>
    <w:qFormat/>
    <w:rPr>
      <w:rFonts w:eastAsia="Times New Roman"/>
      <w:b/>
      <w:smallCaps/>
      <w:kern w:val="2"/>
      <w:sz w:val="28"/>
      <w:szCs w:val="20"/>
    </w:rPr>
  </w:style>
  <w:style w:type="character" w:styleId="Heading2Char" w:customStyle="1">
    <w:name w:val="Heading 2 Char"/>
    <w:basedOn w:val="DefaultParagraphFont"/>
    <w:link w:val="Heading2"/>
    <w:qFormat/>
    <w:rPr>
      <w:rFonts w:eastAsia="Times New Roman"/>
      <w:b/>
      <w:kern w:val="2"/>
      <w:szCs w:val="20"/>
    </w:rPr>
  </w:style>
  <w:style w:type="character" w:styleId="Heading3Char" w:customStyle="1">
    <w:name w:val="Heading 3 Char"/>
    <w:basedOn w:val="DefaultParagraphFont"/>
    <w:link w:val="Heading3"/>
    <w:qFormat/>
    <w:rPr>
      <w:rFonts w:eastAsia="Times New Roman"/>
      <w:b/>
      <w:i/>
      <w:kern w:val="2"/>
      <w:szCs w:val="20"/>
    </w:rPr>
  </w:style>
  <w:style w:type="character" w:styleId="Heading4Char" w:customStyle="1">
    <w:name w:val="Heading 4 Char"/>
    <w:basedOn w:val="DefaultParagraphFont"/>
    <w:link w:val="Heading4"/>
    <w:qFormat/>
    <w:rPr>
      <w:rFonts w:eastAsia="Times New Roman"/>
      <w:b/>
      <w:i/>
      <w:kern w:val="2"/>
      <w:szCs w:val="20"/>
    </w:rPr>
  </w:style>
  <w:style w:type="character" w:styleId="Heading5Char" w:customStyle="1">
    <w:name w:val="Heading 5 Char"/>
    <w:basedOn w:val="DefaultParagraphFont"/>
    <w:link w:val="Heading5"/>
    <w:qFormat/>
    <w:rPr>
      <w:rFonts w:eastAsia="Times New Roman"/>
      <w:i/>
      <w:kern w:val="2"/>
      <w:szCs w:val="20"/>
    </w:rPr>
  </w:style>
  <w:style w:type="character" w:styleId="VisitedInternetLink">
    <w:name w:val="FollowedHyperlink"/>
    <w:basedOn w:val="DefaultParagraphFont"/>
    <w:uiPriority w:val="99"/>
    <w:semiHidden/>
    <w:unhideWhenUsed/>
    <w:rPr>
      <w:color w:val="auto"/>
      <w:u w:val="single"/>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qFormat/>
    <w:rPr>
      <w:rFonts w:ascii="Cambria" w:hAnsi="Cambria" w:eastAsia="" w:cs="" w:asciiTheme="majorHAnsi" w:cstheme="majorBidi" w:eastAsiaTheme="majorEastAsia" w:hAnsiTheme="majorHAnsi"/>
      <w:color w:val="404040" w:themeColor="text1" w:themeTint="bf"/>
      <w:sz w:val="20"/>
      <w:szCs w:val="20"/>
    </w:rPr>
  </w:style>
  <w:style w:type="character" w:styleId="Heading9Char" w:customStyle="1">
    <w:name w:val="Heading 9 Char"/>
    <w:basedOn w:val="DefaultParagraphFont"/>
    <w:link w:val="Heading9"/>
    <w:uiPriority w:val="9"/>
    <w:qFormat/>
    <w:rPr>
      <w:rFonts w:ascii="Cambria" w:hAnsi="Cambria" w:eastAsia="" w:cs="" w:asciiTheme="majorHAnsi" w:cstheme="majorBidi" w:eastAsiaTheme="majorEastAsia" w:hAnsiTheme="majorHAnsi"/>
      <w:i/>
      <w:iCs/>
      <w:color w:val="404040" w:themeColor="text1" w:themeTint="bf"/>
      <w:sz w:val="20"/>
      <w:szCs w:val="20"/>
    </w:rPr>
  </w:style>
  <w:style w:type="character" w:styleId="RubrumBoldChar" w:customStyle="1">
    <w:name w:val="Rubrum_Bold Char"/>
    <w:basedOn w:val="HyphenationNorSpacingChar"/>
    <w:link w:val="RubrumBold"/>
    <w:qFormat/>
    <w:rPr>
      <w:rFonts w:eastAsia="Times New Roman"/>
      <w:b/>
    </w:rPr>
  </w:style>
  <w:style w:type="character" w:styleId="FootnoteCharacters">
    <w:name w:val="Footnote Characters"/>
    <w:basedOn w:val="DefaultParagraphFont"/>
    <w:uiPriority w:val="99"/>
    <w:semiHidden/>
    <w:unhideWhenUsed/>
    <w:qFormat/>
    <w:rPr>
      <w:vertAlign w:val="superscript"/>
    </w:rPr>
  </w:style>
  <w:style w:type="character" w:styleId="FootnoteAnchor">
    <w:name w:val="Footnote Anchor"/>
    <w:rPr>
      <w:vertAlign w:val="superscript"/>
    </w:rPr>
  </w:style>
  <w:style w:type="character" w:styleId="TOC1Char" w:customStyle="1">
    <w:name w:val="TOC 1 Char"/>
    <w:basedOn w:val="DefaultParagraphFont"/>
    <w:link w:val="Contents1"/>
    <w:uiPriority w:val="39"/>
    <w:qFormat/>
    <w:rPr>
      <w:rFonts w:eastAsia="Times New Roman"/>
      <w:b/>
      <w:lang w:val="en-US"/>
    </w:rPr>
  </w:style>
  <w:style w:type="character" w:styleId="CitationChar4" w:customStyle="1">
    <w:name w:val="Citation Char4"/>
    <w:qFormat/>
    <w:rPr>
      <w:rFonts w:eastAsia="Times New Roman"/>
      <w:i/>
      <w:lang w:val="en-US"/>
    </w:rPr>
  </w:style>
  <w:style w:type="character" w:styleId="RandNrTextZchn" w:customStyle="1">
    <w:name w:val="RandNr-Text Zchn"/>
    <w:basedOn w:val="DefaultParagraphFont"/>
    <w:link w:val="RandNrText"/>
    <w:qFormat/>
    <w:rPr>
      <w:rFonts w:ascii="Calibri" w:hAnsi="Calibri" w:eastAsia="Times New Roman" w:cs="Calibri"/>
      <w:sz w:val="22"/>
      <w:lang w:val="en-GB" w:eastAsia="de-DE"/>
    </w:rPr>
  </w:style>
  <w:style w:type="character" w:styleId="AbbildungNChar" w:customStyle="1">
    <w:name w:val="Abbildung N Char"/>
    <w:basedOn w:val="DefaultParagraphFont"/>
    <w:link w:val="AbbildungN"/>
    <w:qFormat/>
    <w:rPr>
      <w:rFonts w:ascii="Calibri" w:hAnsi="Calibri" w:eastAsia="Times New Roman" w:cs="Times New Roman"/>
      <w:bCs/>
      <w:color w:val="000000" w:themeColor="text1"/>
      <w:sz w:val="18"/>
      <w:szCs w:val="18"/>
      <w:lang w:val="de-DE" w:eastAsia="de-DE"/>
    </w:rPr>
  </w:style>
  <w:style w:type="character" w:styleId="Pagenumber">
    <w:name w:val="page number"/>
    <w:basedOn w:val="DefaultParagraphFont"/>
    <w:uiPriority w:val="99"/>
    <w:semiHidden/>
    <w:qFormat/>
    <w:rPr/>
  </w:style>
  <w:style w:type="character" w:styleId="TitleChar" w:customStyle="1">
    <w:name w:val="Title Char"/>
    <w:basedOn w:val="DefaultParagraphFont"/>
    <w:link w:val="Title"/>
    <w:uiPriority w:val="10"/>
    <w:qFormat/>
    <w:rPr>
      <w:rFonts w:eastAsia="Times New Roman" w:cs="Times New Roman"/>
      <w:b/>
      <w:smallCaps/>
      <w:spacing w:val="20"/>
      <w:kern w:val="2"/>
      <w:sz w:val="28"/>
      <w:szCs w:val="20"/>
      <w:lang w:val="en-GB"/>
    </w:rPr>
  </w:style>
  <w:style w:type="character" w:styleId="ListParagraphChar" w:customStyle="1">
    <w:name w:val="List Paragraph Char"/>
    <w:basedOn w:val="DefaultParagraphFont"/>
    <w:link w:val="ListParagraph"/>
    <w:uiPriority w:val="34"/>
    <w:qFormat/>
    <w:rPr/>
  </w:style>
  <w:style w:type="character" w:styleId="BookTitle">
    <w:name w:val="Book Title"/>
    <w:basedOn w:val="DefaultParagraphFont"/>
    <w:uiPriority w:val="33"/>
    <w:qFormat/>
    <w:rPr>
      <w:rFonts w:ascii="Calibri" w:hAnsi="Calibri"/>
      <w:b/>
      <w:bCs/>
      <w:smallCaps/>
      <w:spacing w:val="5"/>
      <w:sz w:val="44"/>
    </w:rPr>
  </w:style>
  <w:style w:type="character" w:styleId="DokTitelZchn" w:customStyle="1">
    <w:name w:val="Dok-Titel Zchn"/>
    <w:basedOn w:val="DefaultParagraphFont"/>
    <w:link w:val="DokTitel"/>
    <w:qFormat/>
    <w:rPr>
      <w:rFonts w:ascii="Calibri" w:hAnsi="Calibri" w:eastAsia="Times New Roman" w:cs="Calibri"/>
      <w:b/>
      <w:bCs/>
      <w:sz w:val="44"/>
      <w:szCs w:val="28"/>
      <w:lang w:val="en-US" w:eastAsia="de-DE"/>
    </w:rPr>
  </w:style>
  <w:style w:type="character" w:styleId="SubtitleChar" w:customStyle="1">
    <w:name w:val="Subtitle Char"/>
    <w:basedOn w:val="DefaultParagraphFont"/>
    <w:link w:val="Subtitle"/>
    <w:uiPriority w:val="11"/>
    <w:qFormat/>
    <w:rPr>
      <w:rFonts w:ascii="Calibri" w:hAnsi="Calibri" w:eastAsia="" w:cs="" w:cstheme="majorBidi" w:eastAsiaTheme="majorEastAsia"/>
      <w:i/>
      <w:iCs/>
      <w:spacing w:val="15"/>
      <w:lang w:val="de-DE" w:eastAsia="de-DE"/>
    </w:rPr>
  </w:style>
  <w:style w:type="character" w:styleId="InhaltsVZTitelZchn" w:customStyle="1">
    <w:name w:val="InhaltsVZ-Titel Zchn"/>
    <w:basedOn w:val="DefaultParagraphFont"/>
    <w:link w:val="InhaltsVZTitel"/>
    <w:qFormat/>
    <w:rPr>
      <w:rFonts w:ascii="Calibri" w:hAnsi="Calibri" w:eastAsia="Times New Roman" w:cs="Times New Roman"/>
      <w:b/>
      <w:caps/>
      <w:sz w:val="28"/>
      <w:lang w:val="de-DE" w:eastAsia="de-DE"/>
    </w:rPr>
  </w:style>
  <w:style w:type="character" w:styleId="SubtleEmphasis">
    <w:name w:val="Subtle Emphasis"/>
    <w:basedOn w:val="DefaultParagraphFont"/>
    <w:uiPriority w:val="19"/>
    <w:qFormat/>
    <w:rPr>
      <w:rFonts w:ascii="Calibri" w:hAnsi="Calibri"/>
      <w:i/>
      <w:iCs/>
      <w:color w:val="808080" w:themeColor="text1" w:themeTint="7f"/>
      <w:sz w:val="22"/>
    </w:rPr>
  </w:style>
  <w:style w:type="character" w:styleId="Emphasis">
    <w:name w:val="Emphasis"/>
    <w:basedOn w:val="DefaultParagraphFont"/>
    <w:uiPriority w:val="20"/>
    <w:qFormat/>
    <w:rPr>
      <w:rFonts w:ascii="Calibri" w:hAnsi="Calibri"/>
      <w:i/>
      <w:iCs/>
      <w:sz w:val="22"/>
    </w:rPr>
  </w:style>
  <w:style w:type="character" w:styleId="IntenseEmphasis">
    <w:name w:val="Intense Emphasis"/>
    <w:basedOn w:val="DefaultParagraphFont"/>
    <w:uiPriority w:val="21"/>
    <w:qFormat/>
    <w:rPr>
      <w:rFonts w:ascii="Calibri" w:hAnsi="Calibri"/>
      <w:b/>
      <w:bCs/>
      <w:i/>
      <w:iCs/>
      <w:color w:val="002060"/>
      <w:sz w:val="22"/>
    </w:rPr>
  </w:style>
  <w:style w:type="character" w:styleId="SubtleReference">
    <w:name w:val="Subtle Reference"/>
    <w:basedOn w:val="DefaultParagraphFont"/>
    <w:uiPriority w:val="31"/>
    <w:qFormat/>
    <w:rPr>
      <w:rFonts w:ascii="Calibri" w:hAnsi="Calibri"/>
      <w:i w:val="false"/>
      <w:smallCaps/>
      <w:color w:val="C00000"/>
      <w:sz w:val="22"/>
      <w:u w:val="single"/>
    </w:rPr>
  </w:style>
  <w:style w:type="character" w:styleId="DocumentMapChar" w:customStyle="1">
    <w:name w:val="Document Map Char"/>
    <w:basedOn w:val="DefaultParagraphFont"/>
    <w:link w:val="DocumentMap"/>
    <w:uiPriority w:val="99"/>
    <w:semiHidden/>
    <w:qFormat/>
    <w:rPr>
      <w:rFonts w:ascii="Tahoma" w:hAnsi="Tahoma" w:eastAsia="Times New Roman" w:cs="Tahoma"/>
      <w:sz w:val="16"/>
      <w:szCs w:val="16"/>
      <w:lang w:val="de-DE" w:eastAsia="de-DE"/>
    </w:rPr>
  </w:style>
  <w:style w:type="character" w:styleId="FunotentextZchn1" w:customStyle="1">
    <w:name w:val="Fußnotentext Zchn1"/>
    <w:basedOn w:val="DefaultParagraphFont"/>
    <w:uiPriority w:val="99"/>
    <w:semiHidden/>
    <w:qFormat/>
    <w:rPr>
      <w:rFonts w:ascii="Times New Roman" w:hAnsi="Times New Roman" w:eastAsia="Times New Roman" w:cs="Times New Roman"/>
      <w:sz w:val="20"/>
      <w:szCs w:val="20"/>
      <w:lang w:eastAsia="de-DE"/>
    </w:rPr>
  </w:style>
  <w:style w:type="character" w:styleId="HillInternational20111011Zchn" w:customStyle="1">
    <w:name w:val="Hill International_2011-10-11 Zchn"/>
    <w:basedOn w:val="DokTitelZchn"/>
    <w:link w:val="HillInternational20111011"/>
    <w:qFormat/>
    <w:rPr>
      <w:rFonts w:ascii="Calibri" w:hAnsi="Calibri" w:eastAsia="Times New Roman" w:cs="Calibri"/>
      <w:b/>
      <w:bCs/>
      <w:sz w:val="44"/>
      <w:szCs w:val="28"/>
      <w:lang w:val="de-DE" w:eastAsia="de-DE"/>
    </w:rPr>
  </w:style>
  <w:style w:type="character" w:styleId="AnlagenZchn" w:customStyle="1">
    <w:name w:val="Anlagen Zchn"/>
    <w:basedOn w:val="DefaultParagraphFont"/>
    <w:link w:val="Anlagen"/>
    <w:qFormat/>
    <w:rPr>
      <w:rFonts w:ascii="Calibri" w:hAnsi="Calibri" w:eastAsia="Times New Roman" w:cs="Arial" w:asciiTheme="minorHAnsi" w:hAnsiTheme="minorHAnsi"/>
      <w:szCs w:val="18"/>
      <w:lang w:val="en-GB" w:eastAsia="de-DE"/>
    </w:rPr>
  </w:style>
  <w:style w:type="character" w:styleId="QuoteChar" w:customStyle="1">
    <w:name w:val="Quote Char"/>
    <w:basedOn w:val="DefaultParagraphFont"/>
    <w:link w:val="Quote"/>
    <w:uiPriority w:val="29"/>
    <w:qFormat/>
    <w:rPr>
      <w:rFonts w:ascii="Calibri" w:hAnsi="Calibri" w:eastAsia="Times New Roman" w:cs="Times New Roman"/>
      <w:i/>
      <w:iCs/>
      <w:color w:val="000000" w:themeColor="text1"/>
      <w:sz w:val="22"/>
      <w:lang w:val="en-US"/>
    </w:rPr>
  </w:style>
  <w:style w:type="character" w:styleId="PlaceholderText">
    <w:name w:val="Placeholder Text"/>
    <w:basedOn w:val="DefaultParagraphFont"/>
    <w:uiPriority w:val="99"/>
    <w:semiHidden/>
    <w:qFormat/>
    <w:rPr>
      <w:color w:val="808080"/>
    </w:rPr>
  </w:style>
  <w:style w:type="character" w:styleId="AbsatzStellungnahmeZchn" w:customStyle="1">
    <w:name w:val="Absatz Stellungnahme Zchn"/>
    <w:basedOn w:val="DefaultParagraphFont"/>
    <w:link w:val="AbsatzStellungnahme"/>
    <w:uiPriority w:val="99"/>
    <w:qFormat/>
    <w:rPr>
      <w:rFonts w:ascii="Century Gothic" w:hAnsi="Century Gothic" w:eastAsia="Times New Roman" w:cs="Times New Roman"/>
      <w:sz w:val="20"/>
      <w:lang w:val="de-DE" w:eastAsia="de-DE"/>
    </w:rPr>
  </w:style>
  <w:style w:type="character" w:styleId="AbsatzmitNrZchn" w:customStyle="1">
    <w:name w:val="Absatz mit Nr Zchn"/>
    <w:basedOn w:val="AbsatzStellungnahmeZchn"/>
    <w:link w:val="AbsatzmitNr"/>
    <w:qFormat/>
    <w:rPr>
      <w:rFonts w:ascii="Calibri" w:hAnsi="Calibri" w:eastAsia="Times New Roman" w:cs="Calibri"/>
      <w:sz w:val="20"/>
      <w:lang w:val="de-DE" w:eastAsia="de-DE"/>
    </w:rPr>
  </w:style>
  <w:style w:type="character" w:styleId="AbsatzeingercktZchn" w:customStyle="1">
    <w:name w:val="Absatz eingerückt Zchn"/>
    <w:basedOn w:val="AbsatzStellungnahmeZchn"/>
    <w:link w:val="Absatzeingerckt"/>
    <w:qFormat/>
    <w:rPr>
      <w:rFonts w:ascii="Calibri" w:hAnsi="Calibri" w:eastAsia="Times New Roman" w:cs="Calibri"/>
      <w:sz w:val="22"/>
      <w:szCs w:val="22"/>
      <w:lang w:val="en-US" w:eastAsia="de-DE"/>
    </w:rPr>
  </w:style>
  <w:style w:type="character" w:styleId="BerschriftChronologieChar" w:customStyle="1">
    <w:name w:val="Überschrift Chronologie Char"/>
    <w:basedOn w:val="RandNrTextZchn"/>
    <w:link w:val="BerschriftChronologie"/>
    <w:qFormat/>
    <w:rPr>
      <w:rFonts w:ascii="Calibri" w:hAnsi="Calibri" w:eastAsia="Times New Roman" w:cs="Calibri"/>
      <w:b/>
      <w:sz w:val="22"/>
      <w:lang w:val="de-DE" w:eastAsia="de-DE"/>
    </w:rPr>
  </w:style>
  <w:style w:type="character" w:styleId="AnmerkungenHillChar" w:customStyle="1">
    <w:name w:val="Anmerkungen Hill Char"/>
    <w:basedOn w:val="RandNrTextZchn"/>
    <w:link w:val="AnmerkungenHill"/>
    <w:qFormat/>
    <w:rPr>
      <w:rFonts w:ascii="Calibri" w:hAnsi="Calibri" w:eastAsia="Times New Roman" w:cs="Calibri"/>
      <w:i/>
      <w:sz w:val="22"/>
      <w:lang w:val="de-DE" w:eastAsia="de-DE"/>
    </w:rPr>
  </w:style>
  <w:style w:type="character" w:styleId="Annotationreference">
    <w:name w:val="annotation reference"/>
    <w:basedOn w:val="DefaultParagraphFont"/>
    <w:uiPriority w:val="99"/>
    <w:semiHidden/>
    <w:unhideWhenUsed/>
    <w:qFormat/>
    <w:rPr>
      <w:sz w:val="16"/>
      <w:szCs w:val="16"/>
    </w:rPr>
  </w:style>
  <w:style w:type="character" w:styleId="CommentTextChar" w:customStyle="1">
    <w:name w:val="Comment Text Char"/>
    <w:basedOn w:val="DefaultParagraphFont"/>
    <w:link w:val="Annotationtext"/>
    <w:uiPriority w:val="99"/>
    <w:qFormat/>
    <w:rPr>
      <w:rFonts w:ascii="Calibri" w:hAnsi="Calibri" w:eastAsia="Times New Roman" w:cs="Times New Roman"/>
      <w:sz w:val="20"/>
      <w:szCs w:val="20"/>
      <w:lang w:val="de-DE" w:eastAsia="de-DE"/>
    </w:rPr>
  </w:style>
  <w:style w:type="character" w:styleId="CommentSubjectChar" w:customStyle="1">
    <w:name w:val="Comment Subject Char"/>
    <w:basedOn w:val="CommentTextChar"/>
    <w:link w:val="Annotationsubject"/>
    <w:uiPriority w:val="99"/>
    <w:semiHidden/>
    <w:qFormat/>
    <w:rPr>
      <w:rFonts w:ascii="Calibri" w:hAnsi="Calibri" w:eastAsia="Times New Roman" w:cs="Times New Roman"/>
      <w:b/>
      <w:bCs/>
      <w:kern w:val="2"/>
      <w:sz w:val="20"/>
      <w:szCs w:val="20"/>
      <w:lang w:val="de-DE" w:eastAsia="de-DE"/>
    </w:rPr>
  </w:style>
  <w:style w:type="character" w:styleId="ZwischenberschriftChar" w:customStyle="1">
    <w:name w:val="Zwischenüberschrift Char"/>
    <w:basedOn w:val="RandNrTextZchn"/>
    <w:link w:val="Zwischenberschrift"/>
    <w:qFormat/>
    <w:rPr>
      <w:rFonts w:ascii="Calibri" w:hAnsi="Calibri" w:eastAsia="Times New Roman" w:cs="Calibri"/>
      <w:b/>
      <w:sz w:val="22"/>
      <w:u w:val="single"/>
      <w:lang w:val="en-GB" w:eastAsia="de-DE"/>
    </w:rPr>
  </w:style>
  <w:style w:type="character" w:styleId="FootnoteChar" w:customStyle="1">
    <w:name w:val="Footnote Char"/>
    <w:basedOn w:val="FootnoteTextChar"/>
    <w:link w:val="Footnote"/>
    <w:qFormat/>
    <w:rPr>
      <w:rFonts w:ascii="Calibri" w:hAnsi="Calibri" w:eastAsia="Times New Roman" w:cs="Times New Roman"/>
      <w:sz w:val="20"/>
      <w:szCs w:val="20"/>
      <w:lang w:val="de-DE" w:eastAsia="de-DE"/>
    </w:rPr>
  </w:style>
  <w:style w:type="character" w:styleId="VertragsbeilageDelimiter" w:customStyle="1">
    <w:name w:val="VertragsbeilageDelimiter"/>
    <w:uiPriority w:val="1"/>
    <w:qFormat/>
    <w:rPr/>
  </w:style>
  <w:style w:type="character" w:styleId="VertragsbeilageDelimiterHidden" w:customStyle="1">
    <w:name w:val="VertragsbeilageDelimiterHidden"/>
    <w:basedOn w:val="VertragsbeilageDelimiter"/>
    <w:uiPriority w:val="1"/>
    <w:qFormat/>
    <w:rPr>
      <w:vanish/>
    </w:rPr>
  </w:style>
  <w:style w:type="character" w:styleId="VertragsbeilageFundstelle" w:customStyle="1">
    <w:name w:val="VertragsbeilageFundstelle"/>
    <w:uiPriority w:val="1"/>
    <w:qFormat/>
    <w:rPr/>
  </w:style>
  <w:style w:type="character" w:styleId="VertragsbeilageFundstelleHidden" w:customStyle="1">
    <w:name w:val="VertragsbeilageFundstelleHidden"/>
    <w:basedOn w:val="VertragsbeilageFundstelle"/>
    <w:uiPriority w:val="1"/>
    <w:qFormat/>
    <w:rPr>
      <w:vanish/>
    </w:rPr>
  </w:style>
  <w:style w:type="character" w:styleId="VertragsbeilageText" w:customStyle="1">
    <w:name w:val="VertragsbeilageText"/>
    <w:basedOn w:val="DefaultParagraphFont"/>
    <w:uiPriority w:val="1"/>
    <w:qFormat/>
    <w:rPr/>
  </w:style>
  <w:style w:type="character" w:styleId="VertragsbeilageTextHidden" w:customStyle="1">
    <w:name w:val="VertragsbeilageTextHidden"/>
    <w:basedOn w:val="VertragsbeilageText"/>
    <w:uiPriority w:val="1"/>
    <w:qFormat/>
    <w:rPr>
      <w:vanish/>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semiHidden/>
    <w:unhideWhenUsed/>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HyphenationNorSpacing"/>
    <w:link w:val="HeaderChar"/>
    <w:uiPriority w:val="19"/>
    <w:unhideWhenUsed/>
    <w:pPr>
      <w:spacing w:lineRule="auto" w:line="300"/>
    </w:pPr>
    <w:rPr>
      <w:rFonts w:ascii="Arial" w:hAnsi="Arial"/>
      <w:sz w:val="18"/>
    </w:rPr>
  </w:style>
  <w:style w:type="paragraph" w:styleId="Footer">
    <w:name w:val="Footer"/>
    <w:basedOn w:val="HyphenationNorSpacing"/>
    <w:link w:val="FooterChar"/>
    <w:uiPriority w:val="99"/>
    <w:unhideWhenUsed/>
    <w:pPr>
      <w:spacing w:lineRule="auto" w:line="300"/>
    </w:pPr>
    <w:rPr>
      <w:sz w:val="12"/>
    </w:rPr>
  </w:style>
  <w:style w:type="paragraph" w:styleId="BalloonText">
    <w:name w:val="Balloon Text"/>
    <w:basedOn w:val="Normal"/>
    <w:link w:val="BalloonTextChar"/>
    <w:uiPriority w:val="99"/>
    <w:semiHidden/>
    <w:unhideWhenUsed/>
    <w:qFormat/>
    <w:pPr>
      <w:spacing w:lineRule="auto" w:line="240"/>
    </w:pPr>
    <w:rPr>
      <w:rFonts w:ascii="Tahoma" w:hAnsi="Tahoma" w:cs="Tahoma"/>
      <w:sz w:val="16"/>
      <w:szCs w:val="16"/>
    </w:rPr>
  </w:style>
  <w:style w:type="paragraph" w:styleId="HyphenationNorSpacing" w:customStyle="1">
    <w:name w:val="Hyphenation_Nor_Spacing"/>
    <w:basedOn w:val="Normal"/>
    <w:link w:val="HyphenationNorSpacingChar"/>
    <w:qFormat/>
    <w:pPr>
      <w:suppressAutoHyphens w:val="true"/>
    </w:pPr>
    <w:rPr>
      <w:rFonts w:eastAsia="Times New Roman"/>
    </w:rPr>
  </w:style>
  <w:style w:type="paragraph" w:styleId="Address" w:customStyle="1">
    <w:name w:val="Address"/>
    <w:basedOn w:val="HyphenationNorSpacing"/>
    <w:qFormat/>
    <w:pPr>
      <w:spacing w:lineRule="auto" w:line="240"/>
      <w:jc w:val="left"/>
    </w:pPr>
    <w:rPr/>
  </w:style>
  <w:style w:type="paragraph" w:styleId="Salutatoryaddress" w:customStyle="1">
    <w:name w:val="Salutatory_address"/>
    <w:basedOn w:val="Hyphenation"/>
    <w:next w:val="Text"/>
    <w:qFormat/>
    <w:pPr/>
    <w:rPr/>
  </w:style>
  <w:style w:type="paragraph" w:styleId="HyphenationAndSpacing" w:customStyle="1">
    <w:name w:val="Hyphenation_And_Spacing"/>
    <w:basedOn w:val="Normal"/>
    <w:qFormat/>
    <w:pPr>
      <w:spacing w:before="240" w:after="0"/>
    </w:pPr>
    <w:rPr>
      <w:rFonts w:eastAsia="Times New Roman"/>
      <w:lang w:val="en-US"/>
    </w:rPr>
  </w:style>
  <w:style w:type="paragraph" w:styleId="1List" w:customStyle="1">
    <w:name w:val="1_List"/>
    <w:basedOn w:val="HyphenationAndSpacing"/>
    <w:qFormat/>
    <w:pPr>
      <w:numPr>
        <w:ilvl w:val="0"/>
        <w:numId w:val="9"/>
      </w:numPr>
    </w:pPr>
    <w:rPr/>
  </w:style>
  <w:style w:type="paragraph" w:styleId="11List" w:customStyle="1">
    <w:name w:val="1_1_List"/>
    <w:basedOn w:val="HyphenationAndSpacing"/>
    <w:qFormat/>
    <w:pPr>
      <w:numPr>
        <w:ilvl w:val="1"/>
        <w:numId w:val="9"/>
      </w:numPr>
    </w:pPr>
    <w:rPr/>
  </w:style>
  <w:style w:type="paragraph" w:styleId="111List" w:customStyle="1">
    <w:name w:val="1_1_1_List"/>
    <w:basedOn w:val="HyphenationAndSpacing"/>
    <w:qFormat/>
    <w:pPr>
      <w:numPr>
        <w:ilvl w:val="2"/>
        <w:numId w:val="9"/>
      </w:numPr>
    </w:pPr>
    <w:rPr/>
  </w:style>
  <w:style w:type="paragraph" w:styleId="AList" w:customStyle="1">
    <w:name w:val="__a_List"/>
    <w:basedOn w:val="HyphenationAndSpacing"/>
    <w:qFormat/>
    <w:pPr>
      <w:numPr>
        <w:ilvl w:val="3"/>
        <w:numId w:val="9"/>
      </w:numPr>
    </w:pPr>
    <w:rPr/>
  </w:style>
  <w:style w:type="paragraph" w:styleId="BulletList" w:customStyle="1">
    <w:name w:val="__Bullet_List"/>
    <w:basedOn w:val="HyphenationAndSpacing"/>
    <w:qFormat/>
    <w:pPr>
      <w:numPr>
        <w:ilvl w:val="0"/>
        <w:numId w:val="8"/>
      </w:numPr>
    </w:pPr>
    <w:rPr/>
  </w:style>
  <w:style w:type="paragraph" w:styleId="1List1" w:customStyle="1">
    <w:name w:val="__1_List"/>
    <w:basedOn w:val="HyphenationAndSpacing"/>
    <w:qFormat/>
    <w:pPr>
      <w:numPr>
        <w:ilvl w:val="0"/>
        <w:numId w:val="11"/>
      </w:numPr>
    </w:pPr>
    <w:rPr/>
  </w:style>
  <w:style w:type="paragraph" w:styleId="11List1" w:customStyle="1">
    <w:name w:val="__1_1_List"/>
    <w:basedOn w:val="HyphenationAndSpacing"/>
    <w:qFormat/>
    <w:pPr>
      <w:numPr>
        <w:ilvl w:val="1"/>
        <w:numId w:val="11"/>
      </w:numPr>
    </w:pPr>
    <w:rPr/>
  </w:style>
  <w:style w:type="paragraph" w:styleId="111List1" w:customStyle="1">
    <w:name w:val="__1_1_1_List"/>
    <w:basedOn w:val="HyphenationAndSpacing"/>
    <w:qFormat/>
    <w:pPr>
      <w:numPr>
        <w:ilvl w:val="2"/>
        <w:numId w:val="11"/>
      </w:numPr>
    </w:pPr>
    <w:rPr/>
  </w:style>
  <w:style w:type="paragraph" w:styleId="AList1" w:customStyle="1">
    <w:name w:val="____a_List"/>
    <w:basedOn w:val="HyphenationAndSpacing"/>
    <w:qFormat/>
    <w:pPr>
      <w:numPr>
        <w:ilvl w:val="3"/>
        <w:numId w:val="11"/>
      </w:numPr>
    </w:pPr>
    <w:rPr/>
  </w:style>
  <w:style w:type="paragraph" w:styleId="BulletList1" w:customStyle="1">
    <w:name w:val="____Bullet_List"/>
    <w:basedOn w:val="HyphenationAndSpacing"/>
    <w:qFormat/>
    <w:pPr>
      <w:numPr>
        <w:ilvl w:val="0"/>
        <w:numId w:val="7"/>
      </w:numPr>
    </w:pPr>
    <w:rPr/>
  </w:style>
  <w:style w:type="paragraph" w:styleId="BeilageEintrag" w:customStyle="1">
    <w:name w:val="Beilage_Eintrag"/>
    <w:basedOn w:val="BasisEintrag"/>
    <w:link w:val="BeilageEintragChar"/>
    <w:qFormat/>
    <w:pPr>
      <w:numPr>
        <w:ilvl w:val="0"/>
        <w:numId w:val="16"/>
      </w:numPr>
    </w:pPr>
    <w:rPr/>
  </w:style>
  <w:style w:type="paragraph" w:styleId="BeilageReferenz" w:customStyle="1">
    <w:name w:val="Beilage_Referenz"/>
    <w:basedOn w:val="BasisReferenz"/>
    <w:qFormat/>
    <w:pPr/>
    <w:rPr/>
  </w:style>
  <w:style w:type="paragraph" w:styleId="Enclosure1" w:customStyle="1">
    <w:name w:val="Enclosure_1"/>
    <w:basedOn w:val="HyphenationNorSpacing"/>
    <w:next w:val="Enclosuren"/>
    <w:qFormat/>
    <w:pPr>
      <w:keepNext w:val="true"/>
      <w:spacing w:before="360" w:after="0"/>
      <w:ind w:left="1418" w:hanging="1418"/>
    </w:pPr>
    <w:rPr/>
  </w:style>
  <w:style w:type="paragraph" w:styleId="Enclosuren" w:customStyle="1">
    <w:name w:val="Enclosure_n"/>
    <w:basedOn w:val="HyphenationNorSpacing"/>
    <w:qFormat/>
    <w:pPr>
      <w:keepNext w:val="true"/>
      <w:ind w:left="1418" w:hanging="0"/>
    </w:pPr>
    <w:rPr/>
  </w:style>
  <w:style w:type="paragraph" w:styleId="Hyphenation" w:customStyle="1">
    <w:name w:val="Hyphenation"/>
    <w:basedOn w:val="Normal"/>
    <w:qFormat/>
    <w:pPr/>
    <w:rPr>
      <w:rFonts w:eastAsia="Times New Roman"/>
      <w:lang w:val="en-US"/>
    </w:rPr>
  </w:style>
  <w:style w:type="paragraph" w:styleId="Subject" w:customStyle="1">
    <w:name w:val="Subject"/>
    <w:basedOn w:val="Hyphenation"/>
    <w:qFormat/>
    <w:pPr/>
    <w:rPr>
      <w:b/>
    </w:rPr>
  </w:style>
  <w:style w:type="paragraph" w:styleId="Beweismittelverzeichnis" w:customStyle="1">
    <w:name w:val="Beweismittelverzeichnis"/>
    <w:basedOn w:val="HyphenationNorSpacing"/>
    <w:qFormat/>
    <w:pPr>
      <w:spacing w:before="120" w:after="0"/>
      <w:ind w:left="1559" w:hanging="1559"/>
    </w:pPr>
    <w:rPr/>
  </w:style>
  <w:style w:type="paragraph" w:styleId="BO" w:customStyle="1">
    <w:name w:val="BO"/>
    <w:basedOn w:val="HyphenationNorSpacing"/>
    <w:qFormat/>
    <w:pPr>
      <w:spacing w:before="240" w:after="0"/>
      <w:ind w:left="709" w:hanging="0"/>
    </w:pPr>
    <w:rPr>
      <w:u w:val="single"/>
    </w:rPr>
  </w:style>
  <w:style w:type="paragraph" w:styleId="BOEintrag" w:customStyle="1">
    <w:name w:val="BO_Eintrag"/>
    <w:basedOn w:val="BasisEintrag"/>
    <w:link w:val="BOEintragChar"/>
    <w:qFormat/>
    <w:pPr>
      <w:numPr>
        <w:ilvl w:val="0"/>
        <w:numId w:val="18"/>
      </w:numPr>
    </w:pPr>
    <w:rPr/>
  </w:style>
  <w:style w:type="paragraph" w:styleId="BOReferenz" w:customStyle="1">
    <w:name w:val="BO_Referenz"/>
    <w:basedOn w:val="BasisReferenz"/>
    <w:qFormat/>
    <w:pPr/>
    <w:rPr/>
  </w:style>
  <w:style w:type="paragraph" w:styleId="BOMEintrag" w:customStyle="1">
    <w:name w:val="BOM_Eintrag"/>
    <w:basedOn w:val="BasisEintrag"/>
    <w:qFormat/>
    <w:pPr>
      <w:numPr>
        <w:ilvl w:val="0"/>
        <w:numId w:val="19"/>
      </w:numPr>
    </w:pPr>
    <w:rPr/>
  </w:style>
  <w:style w:type="paragraph" w:styleId="BOMReferenz" w:customStyle="1">
    <w:name w:val="BOM_Referenz"/>
    <w:basedOn w:val="BasisReferenz"/>
    <w:qFormat/>
    <w:pPr/>
    <w:rPr/>
  </w:style>
  <w:style w:type="paragraph" w:styleId="Copy1" w:customStyle="1">
    <w:name w:val="Copy1"/>
    <w:basedOn w:val="HyphenationNorSpacing"/>
    <w:next w:val="Copy2"/>
    <w:qFormat/>
    <w:pPr>
      <w:keepNext w:val="true"/>
      <w:spacing w:before="360" w:after="0"/>
      <w:ind w:left="1418" w:hanging="1418"/>
    </w:pPr>
    <w:rPr/>
  </w:style>
  <w:style w:type="paragraph" w:styleId="Copy2" w:customStyle="1">
    <w:name w:val="Copy2"/>
    <w:basedOn w:val="HyphenationNorSpacing"/>
    <w:qFormat/>
    <w:pPr>
      <w:keepNext w:val="true"/>
      <w:ind w:left="1418" w:hanging="0"/>
    </w:pPr>
    <w:rPr/>
  </w:style>
  <w:style w:type="paragraph" w:styleId="Docinfo" w:customStyle="1">
    <w:name w:val="Doc_info"/>
    <w:basedOn w:val="HyphenationNorSpacing"/>
    <w:next w:val="Normalwithoutspacing"/>
    <w:qFormat/>
    <w:pPr>
      <w:spacing w:lineRule="auto" w:line="240"/>
      <w:jc w:val="left"/>
    </w:pPr>
    <w:rPr>
      <w:sz w:val="12"/>
      <w:szCs w:val="22"/>
    </w:rPr>
  </w:style>
  <w:style w:type="paragraph" w:styleId="Duplicate" w:customStyle="1">
    <w:name w:val="Duplicate"/>
    <w:basedOn w:val="Hyphenation"/>
    <w:next w:val="Enclosure1"/>
    <w:qFormat/>
    <w:pPr>
      <w:keepNext w:val="true"/>
      <w:spacing w:before="360" w:after="0"/>
    </w:pPr>
    <w:rPr/>
  </w:style>
  <w:style w:type="paragraph" w:styleId="Greetings" w:customStyle="1">
    <w:name w:val="Greetings"/>
    <w:basedOn w:val="Hyphenation"/>
    <w:next w:val="Signing"/>
    <w:qFormat/>
    <w:pPr>
      <w:keepNext w:val="true"/>
      <w:spacing w:before="400" w:after="0"/>
    </w:pPr>
    <w:rPr/>
  </w:style>
  <w:style w:type="paragraph" w:styleId="RechtsmaterialEintrag" w:customStyle="1">
    <w:name w:val="Rechtsmaterial_Eintrag"/>
    <w:basedOn w:val="BasisEintrag"/>
    <w:link w:val="RechtsmaterialEintragChar"/>
    <w:qFormat/>
    <w:pPr>
      <w:numPr>
        <w:ilvl w:val="0"/>
        <w:numId w:val="30"/>
      </w:numPr>
    </w:pPr>
    <w:rPr/>
  </w:style>
  <w:style w:type="paragraph" w:styleId="RechtsmaterialReferenz" w:customStyle="1">
    <w:name w:val="Rechtsmaterial_Referenz"/>
    <w:basedOn w:val="BasisReferenz"/>
    <w:qFormat/>
    <w:pPr/>
    <w:rPr/>
  </w:style>
  <w:style w:type="paragraph" w:styleId="Text" w:customStyle="1">
    <w:name w:val="Text"/>
    <w:basedOn w:val="HyphenationAndSpacing"/>
    <w:qFormat/>
    <w:pPr>
      <w:spacing w:before="120" w:after="0"/>
    </w:pPr>
    <w:rPr/>
  </w:style>
  <w:style w:type="paragraph" w:styleId="ParaText" w:customStyle="1">
    <w:name w:val="Para_Text"/>
    <w:basedOn w:val="HyphenationAndSpacing"/>
    <w:qFormat/>
    <w:pPr>
      <w:numPr>
        <w:ilvl w:val="0"/>
        <w:numId w:val="28"/>
      </w:numPr>
    </w:pPr>
    <w:rPr/>
  </w:style>
  <w:style w:type="paragraph" w:styleId="Normalwithoutspacing" w:customStyle="1">
    <w:name w:val="Normal_without_spacing"/>
    <w:basedOn w:val="HyphenationAndSpacing"/>
    <w:qFormat/>
    <w:pPr>
      <w:spacing w:before="0" w:after="0"/>
    </w:pPr>
    <w:rPr/>
  </w:style>
  <w:style w:type="paragraph" w:styleId="Text1" w:customStyle="1">
    <w:name w:val="__Text"/>
    <w:basedOn w:val="HyphenationAndSpacing"/>
    <w:qFormat/>
    <w:pPr>
      <w:spacing w:before="120" w:after="0"/>
      <w:ind w:left="709" w:hanging="0"/>
    </w:pPr>
    <w:rPr/>
  </w:style>
  <w:style w:type="paragraph" w:styleId="Normalindentwithoutspacing" w:customStyle="1">
    <w:name w:val="Normal_indent_without_spacing"/>
    <w:basedOn w:val="HyphenationAndSpacing"/>
    <w:qFormat/>
    <w:pPr>
      <w:spacing w:before="0" w:after="0"/>
      <w:ind w:left="709" w:hanging="0"/>
    </w:pPr>
    <w:rPr/>
  </w:style>
  <w:style w:type="paragraph" w:styleId="1111Heading" w:customStyle="1">
    <w:name w:val="1_1_1_1_Heading"/>
    <w:basedOn w:val="HyphenationAndSpacing"/>
    <w:next w:val="ParaText"/>
    <w:qFormat/>
    <w:pPr>
      <w:keepNext w:val="true"/>
      <w:numPr>
        <w:ilvl w:val="5"/>
        <w:numId w:val="27"/>
      </w:numPr>
      <w:spacing w:before="360" w:after="0"/>
      <w:jc w:val="left"/>
      <w:outlineLvl w:val="5"/>
    </w:pPr>
    <w:rPr>
      <w:b/>
    </w:rPr>
  </w:style>
  <w:style w:type="paragraph" w:styleId="AHeading" w:customStyle="1">
    <w:name w:val="A______Heading"/>
    <w:basedOn w:val="HyphenationAndSpacing"/>
    <w:next w:val="ParaText"/>
    <w:qFormat/>
    <w:pPr>
      <w:keepNext w:val="true"/>
      <w:numPr>
        <w:ilvl w:val="1"/>
        <w:numId w:val="27"/>
      </w:numPr>
      <w:spacing w:before="480" w:after="0"/>
      <w:jc w:val="left"/>
      <w:outlineLvl w:val="1"/>
    </w:pPr>
    <w:rPr>
      <w:b/>
      <w:sz w:val="26"/>
    </w:rPr>
  </w:style>
  <w:style w:type="paragraph" w:styleId="AHeading1" w:customStyle="1">
    <w:name w:val="a_______Heading"/>
    <w:basedOn w:val="HyphenationAndSpacing"/>
    <w:next w:val="ParaText"/>
    <w:qFormat/>
    <w:pPr>
      <w:keepNext w:val="true"/>
      <w:numPr>
        <w:ilvl w:val="6"/>
        <w:numId w:val="27"/>
      </w:numPr>
      <w:spacing w:before="360" w:after="0"/>
      <w:jc w:val="left"/>
      <w:outlineLvl w:val="6"/>
    </w:pPr>
    <w:rPr>
      <w:b/>
    </w:rPr>
  </w:style>
  <w:style w:type="paragraph" w:styleId="1Heading" w:customStyle="1">
    <w:name w:val="1_______Heading"/>
    <w:basedOn w:val="HyphenationAndSpacing"/>
    <w:next w:val="ParaText"/>
    <w:qFormat/>
    <w:pPr>
      <w:keepNext w:val="true"/>
      <w:numPr>
        <w:ilvl w:val="2"/>
        <w:numId w:val="27"/>
      </w:numPr>
      <w:spacing w:before="480" w:after="0"/>
      <w:jc w:val="left"/>
      <w:outlineLvl w:val="2"/>
    </w:pPr>
    <w:rPr>
      <w:b/>
    </w:rPr>
  </w:style>
  <w:style w:type="paragraph" w:styleId="11Heading" w:customStyle="1">
    <w:name w:val="1_1_____Heading"/>
    <w:basedOn w:val="HyphenationAndSpacing"/>
    <w:next w:val="ParaText"/>
    <w:qFormat/>
    <w:pPr>
      <w:keepNext w:val="true"/>
      <w:numPr>
        <w:ilvl w:val="3"/>
        <w:numId w:val="27"/>
      </w:numPr>
      <w:spacing w:before="360" w:after="0"/>
      <w:jc w:val="left"/>
      <w:outlineLvl w:val="3"/>
    </w:pPr>
    <w:rPr>
      <w:b/>
    </w:rPr>
  </w:style>
  <w:style w:type="paragraph" w:styleId="111Heading" w:customStyle="1">
    <w:name w:val="1_1_1___Heading"/>
    <w:basedOn w:val="HyphenationAndSpacing"/>
    <w:next w:val="ParaText"/>
    <w:qFormat/>
    <w:pPr>
      <w:keepNext w:val="true"/>
      <w:numPr>
        <w:ilvl w:val="4"/>
        <w:numId w:val="27"/>
      </w:numPr>
      <w:spacing w:before="360" w:after="0"/>
      <w:jc w:val="left"/>
      <w:outlineLvl w:val="4"/>
    </w:pPr>
    <w:rPr>
      <w:b/>
    </w:rPr>
  </w:style>
  <w:style w:type="paragraph" w:styleId="Heading10" w:customStyle="1">
    <w:name w:val="________Heading"/>
    <w:basedOn w:val="HyphenationAndSpacing"/>
    <w:next w:val="ParaText"/>
    <w:qFormat/>
    <w:pPr>
      <w:keepNext w:val="true"/>
      <w:spacing w:before="360" w:after="0"/>
      <w:ind w:left="709" w:hanging="0"/>
      <w:jc w:val="left"/>
    </w:pPr>
    <w:rPr>
      <w:b/>
    </w:rPr>
  </w:style>
  <w:style w:type="paragraph" w:styleId="Meansoftransit" w:customStyle="1">
    <w:name w:val="Means_of_transit"/>
    <w:basedOn w:val="Hyphenation"/>
    <w:qFormat/>
    <w:pPr/>
    <w:rPr>
      <w:b/>
      <w:caps/>
    </w:rPr>
  </w:style>
  <w:style w:type="paragraph" w:styleId="Signing" w:customStyle="1">
    <w:name w:val="Signing"/>
    <w:basedOn w:val="HyphenationNorSpacing"/>
    <w:next w:val="Duplicate"/>
    <w:qFormat/>
    <w:pPr>
      <w:keepNext w:val="true"/>
      <w:spacing w:before="720" w:after="0"/>
    </w:pPr>
    <w:rPr/>
  </w:style>
  <w:style w:type="paragraph" w:styleId="ZeugeEintrag" w:customStyle="1">
    <w:name w:val="Zeuge_Eintrag"/>
    <w:basedOn w:val="BasisEintrag"/>
    <w:qFormat/>
    <w:pPr>
      <w:numPr>
        <w:ilvl w:val="0"/>
        <w:numId w:val="34"/>
      </w:numPr>
    </w:pPr>
    <w:rPr>
      <w:szCs w:val="28"/>
    </w:rPr>
  </w:style>
  <w:style w:type="paragraph" w:styleId="ZeugeReferenz" w:customStyle="1">
    <w:name w:val="Zeuge_Referenz"/>
    <w:basedOn w:val="BasisReferenz"/>
    <w:qFormat/>
    <w:pPr/>
    <w:rPr/>
  </w:style>
  <w:style w:type="paragraph" w:styleId="ZeugenaussageEintrag" w:customStyle="1">
    <w:name w:val="Zeugenaussage_Eintrag"/>
    <w:basedOn w:val="BasisEintrag"/>
    <w:link w:val="ZeugenaussageEintragChar"/>
    <w:qFormat/>
    <w:pPr>
      <w:numPr>
        <w:ilvl w:val="0"/>
        <w:numId w:val="36"/>
      </w:numPr>
    </w:pPr>
    <w:rPr/>
  </w:style>
  <w:style w:type="paragraph" w:styleId="ZeugenaussageReferenz" w:customStyle="1">
    <w:name w:val="Zeugenaussage_Referenz"/>
    <w:basedOn w:val="BasisReferenz"/>
    <w:qFormat/>
    <w:pPr/>
    <w:rPr/>
  </w:style>
  <w:style w:type="paragraph" w:styleId="Citation" w:customStyle="1">
    <w:name w:val="Citation"/>
    <w:basedOn w:val="Hyphenation"/>
    <w:link w:val="CitationChar4"/>
    <w:qFormat/>
    <w:pPr>
      <w:spacing w:before="240" w:after="0"/>
      <w:ind w:left="1418" w:right="709" w:hanging="0"/>
    </w:pPr>
    <w:rPr>
      <w:i/>
    </w:rPr>
  </w:style>
  <w:style w:type="paragraph" w:styleId="Normalhangingwithspacing" w:customStyle="1">
    <w:name w:val="Normal_hanging_with_spacing"/>
    <w:basedOn w:val="HyphenationAndSpacing"/>
    <w:qFormat/>
    <w:pPr>
      <w:ind w:left="709" w:hanging="709"/>
    </w:pPr>
    <w:rPr/>
  </w:style>
  <w:style w:type="paragraph" w:styleId="ARecital" w:customStyle="1">
    <w:name w:val="A_Recital"/>
    <w:basedOn w:val="HyphenationAndSpacing"/>
    <w:qFormat/>
    <w:pPr>
      <w:numPr>
        <w:ilvl w:val="0"/>
        <w:numId w:val="13"/>
      </w:numPr>
      <w:spacing w:before="120" w:after="0"/>
    </w:pPr>
    <w:rPr/>
  </w:style>
  <w:style w:type="paragraph" w:styleId="IList" w:customStyle="1">
    <w:name w:val="__i_List"/>
    <w:basedOn w:val="HyphenationAndSpacing"/>
    <w:qFormat/>
    <w:pPr>
      <w:numPr>
        <w:ilvl w:val="4"/>
        <w:numId w:val="9"/>
      </w:numPr>
      <w:spacing w:before="240" w:after="0"/>
      <w:contextualSpacing/>
    </w:pPr>
    <w:rPr/>
  </w:style>
  <w:style w:type="paragraph" w:styleId="IList1" w:customStyle="1">
    <w:name w:val="____i_List"/>
    <w:basedOn w:val="HyphenationAndSpacing"/>
    <w:qFormat/>
    <w:pPr>
      <w:numPr>
        <w:ilvl w:val="4"/>
        <w:numId w:val="11"/>
      </w:numPr>
      <w:spacing w:before="240" w:after="0"/>
      <w:contextualSpacing/>
    </w:pPr>
    <w:rPr/>
  </w:style>
  <w:style w:type="paragraph" w:styleId="Signatur" w:customStyle="1">
    <w:name w:val="Signatur"/>
    <w:basedOn w:val="HyphenationNorSpacing"/>
    <w:uiPriority w:val="18"/>
    <w:qFormat/>
    <w:pPr>
      <w:spacing w:lineRule="auto" w:line="300"/>
      <w:jc w:val="left"/>
    </w:pPr>
    <w:rPr>
      <w:rFonts w:ascii="Arial" w:hAnsi="Arial" w:eastAsia="" w:cs="" w:cstheme="minorBidi" w:eastAsiaTheme="minorEastAsia"/>
      <w:sz w:val="14"/>
      <w:lang w:eastAsia="de-CH"/>
    </w:rPr>
  </w:style>
  <w:style w:type="paragraph" w:styleId="Contents1">
    <w:name w:val="TOC 1"/>
    <w:basedOn w:val="HyphenationNorSpacing"/>
    <w:next w:val="Normal"/>
    <w:link w:val="TOC1Char"/>
    <w:autoRedefine/>
    <w:uiPriority w:val="39"/>
    <w:unhideWhenUsed/>
    <w:pPr>
      <w:keepNext w:val="true"/>
      <w:tabs>
        <w:tab w:val="clear" w:pos="708"/>
        <w:tab w:val="left" w:pos="482" w:leader="none"/>
        <w:tab w:val="right" w:pos="9356" w:leader="dot"/>
      </w:tabs>
      <w:spacing w:before="120" w:after="0"/>
      <w:ind w:left="482" w:right="482" w:hanging="482"/>
      <w:jc w:val="left"/>
    </w:pPr>
    <w:rPr>
      <w:b/>
      <w:lang w:val="en-US"/>
    </w:rPr>
  </w:style>
  <w:style w:type="paragraph" w:styleId="Contents2">
    <w:name w:val="TOC 2"/>
    <w:basedOn w:val="HyphenationNorSpacing"/>
    <w:next w:val="Normal"/>
    <w:autoRedefine/>
    <w:uiPriority w:val="39"/>
    <w:unhideWhenUsed/>
    <w:pPr>
      <w:tabs>
        <w:tab w:val="clear" w:pos="708"/>
        <w:tab w:val="left" w:pos="964" w:leader="none"/>
        <w:tab w:val="right" w:pos="9356" w:leader="dot"/>
      </w:tabs>
      <w:spacing w:lineRule="auto" w:line="240"/>
      <w:ind w:left="964" w:right="482" w:hanging="482"/>
      <w:jc w:val="left"/>
    </w:pPr>
    <w:rPr/>
  </w:style>
  <w:style w:type="paragraph" w:styleId="Contents3">
    <w:name w:val="TOC 3"/>
    <w:basedOn w:val="HyphenationNorSpacing"/>
    <w:next w:val="Normal"/>
    <w:autoRedefine/>
    <w:uiPriority w:val="39"/>
    <w:unhideWhenUsed/>
    <w:pPr>
      <w:tabs>
        <w:tab w:val="clear" w:pos="708"/>
        <w:tab w:val="left" w:pos="1673" w:leader="none"/>
        <w:tab w:val="right" w:pos="9356" w:leader="dot"/>
      </w:tabs>
      <w:suppressAutoHyphens w:val="false"/>
      <w:spacing w:lineRule="auto" w:line="240"/>
      <w:ind w:left="1673" w:right="482" w:hanging="709"/>
      <w:jc w:val="left"/>
    </w:pPr>
    <w:rPr/>
  </w:style>
  <w:style w:type="paragraph" w:styleId="1Title" w:customStyle="1">
    <w:name w:val="1_Title"/>
    <w:basedOn w:val="HyphenationAndSpacing"/>
    <w:next w:val="Text1"/>
    <w:qFormat/>
    <w:pPr>
      <w:keepNext w:val="true"/>
      <w:numPr>
        <w:ilvl w:val="0"/>
        <w:numId w:val="12"/>
      </w:numPr>
      <w:spacing w:before="480" w:after="0"/>
      <w:jc w:val="left"/>
      <w:outlineLvl w:val="0"/>
    </w:pPr>
    <w:rPr>
      <w:b/>
      <w:sz w:val="26"/>
    </w:rPr>
  </w:style>
  <w:style w:type="paragraph" w:styleId="11Title" w:customStyle="1">
    <w:name w:val="1_1_Title"/>
    <w:basedOn w:val="HyphenationAndSpacing"/>
    <w:next w:val="Text1"/>
    <w:qFormat/>
    <w:pPr>
      <w:keepNext w:val="true"/>
      <w:numPr>
        <w:ilvl w:val="1"/>
        <w:numId w:val="12"/>
      </w:numPr>
      <w:jc w:val="left"/>
      <w:outlineLvl w:val="1"/>
    </w:pPr>
    <w:rPr>
      <w:b/>
    </w:rPr>
  </w:style>
  <w:style w:type="paragraph" w:styleId="111Title" w:customStyle="1">
    <w:name w:val="1_1_1_Title"/>
    <w:basedOn w:val="HyphenationAndSpacing"/>
    <w:next w:val="Text1"/>
    <w:qFormat/>
    <w:pPr>
      <w:keepNext w:val="true"/>
      <w:numPr>
        <w:ilvl w:val="2"/>
        <w:numId w:val="12"/>
      </w:numPr>
      <w:spacing w:before="120" w:after="0"/>
      <w:jc w:val="left"/>
      <w:outlineLvl w:val="2"/>
    </w:pPr>
    <w:rPr>
      <w:i/>
    </w:rPr>
  </w:style>
  <w:style w:type="paragraph" w:styleId="1111Title" w:customStyle="1">
    <w:name w:val="1_1_1_1_Title"/>
    <w:basedOn w:val="HyphenationAndSpacing"/>
    <w:next w:val="Text1"/>
    <w:qFormat/>
    <w:pPr>
      <w:keepNext w:val="true"/>
      <w:numPr>
        <w:ilvl w:val="3"/>
        <w:numId w:val="12"/>
      </w:numPr>
      <w:spacing w:before="120" w:after="0"/>
      <w:jc w:val="left"/>
      <w:outlineLvl w:val="3"/>
    </w:pPr>
    <w:rPr>
      <w:i/>
    </w:rPr>
  </w:style>
  <w:style w:type="paragraph" w:styleId="Headingwithoutnum" w:customStyle="1">
    <w:name w:val="Heading_without_num"/>
    <w:basedOn w:val="HyphenationAndSpacing"/>
    <w:next w:val="Text"/>
    <w:qFormat/>
    <w:pPr>
      <w:keepNext w:val="true"/>
      <w:spacing w:before="480" w:after="0"/>
      <w:jc w:val="left"/>
      <w:outlineLvl w:val="0"/>
    </w:pPr>
    <w:rPr>
      <w:b/>
      <w:sz w:val="28"/>
    </w:rPr>
  </w:style>
  <w:style w:type="paragraph" w:styleId="Contents4">
    <w:name w:val="TOC 4"/>
    <w:basedOn w:val="Normal"/>
    <w:next w:val="Normal"/>
    <w:autoRedefine/>
    <w:uiPriority w:val="39"/>
    <w:unhideWhenUsed/>
    <w:pPr>
      <w:tabs>
        <w:tab w:val="clear" w:pos="708"/>
        <w:tab w:val="left" w:pos="2523" w:leader="none"/>
        <w:tab w:val="right" w:pos="8862" w:leader="dot"/>
      </w:tabs>
      <w:spacing w:lineRule="auto" w:line="240"/>
      <w:ind w:left="2524" w:right="992" w:hanging="851"/>
      <w:jc w:val="left"/>
    </w:pPr>
    <w:rPr/>
  </w:style>
  <w:style w:type="paragraph" w:styleId="Contents5">
    <w:name w:val="TOC 5"/>
    <w:basedOn w:val="Normal"/>
    <w:next w:val="Normal"/>
    <w:autoRedefine/>
    <w:uiPriority w:val="39"/>
    <w:unhideWhenUsed/>
    <w:pPr>
      <w:tabs>
        <w:tab w:val="clear" w:pos="708"/>
        <w:tab w:val="left" w:pos="1418" w:leader="none"/>
        <w:tab w:val="right" w:pos="9344" w:leader="dot"/>
      </w:tabs>
      <w:spacing w:before="120" w:after="0"/>
      <w:ind w:left="1418" w:right="709" w:hanging="709"/>
      <w:jc w:val="left"/>
    </w:pPr>
    <w:rPr/>
  </w:style>
  <w:style w:type="paragraph" w:styleId="Contents6">
    <w:name w:val="TOC 6"/>
    <w:basedOn w:val="Normal"/>
    <w:next w:val="Normal"/>
    <w:autoRedefine/>
    <w:uiPriority w:val="39"/>
    <w:unhideWhenUsed/>
    <w:pPr>
      <w:tabs>
        <w:tab w:val="clear" w:pos="708"/>
        <w:tab w:val="right" w:pos="9344" w:leader="dot"/>
      </w:tabs>
      <w:ind w:left="1418" w:right="709" w:hanging="709"/>
      <w:jc w:val="left"/>
    </w:pPr>
    <w:rPr/>
  </w:style>
  <w:style w:type="paragraph" w:styleId="Contents7">
    <w:name w:val="TOC 7"/>
    <w:basedOn w:val="Normal"/>
    <w:next w:val="Normal"/>
    <w:autoRedefine/>
    <w:uiPriority w:val="39"/>
    <w:unhideWhenUsed/>
    <w:pPr>
      <w:tabs>
        <w:tab w:val="clear" w:pos="708"/>
        <w:tab w:val="right" w:pos="9344" w:leader="dot"/>
      </w:tabs>
      <w:ind w:left="1418" w:right="709" w:hanging="709"/>
      <w:jc w:val="left"/>
    </w:pPr>
    <w:rPr/>
  </w:style>
  <w:style w:type="paragraph" w:styleId="Contents8">
    <w:name w:val="TOC 8"/>
    <w:basedOn w:val="Normal"/>
    <w:next w:val="Normal"/>
    <w:autoRedefine/>
    <w:uiPriority w:val="39"/>
    <w:unhideWhenUsed/>
    <w:pPr>
      <w:tabs>
        <w:tab w:val="clear" w:pos="708"/>
        <w:tab w:val="right" w:pos="9344" w:leader="dot"/>
      </w:tabs>
      <w:ind w:left="1418" w:right="709" w:hanging="709"/>
      <w:jc w:val="left"/>
    </w:pPr>
    <w:rPr/>
  </w:style>
  <w:style w:type="paragraph" w:styleId="Contents9">
    <w:name w:val="TOC 9"/>
    <w:basedOn w:val="Normal"/>
    <w:next w:val="Normal"/>
    <w:autoRedefine/>
    <w:uiPriority w:val="39"/>
    <w:unhideWhenUsed/>
    <w:pPr>
      <w:tabs>
        <w:tab w:val="clear" w:pos="708"/>
        <w:tab w:val="right" w:pos="9344" w:leader="dot"/>
      </w:tabs>
      <w:jc w:val="left"/>
    </w:pPr>
    <w:rPr/>
  </w:style>
  <w:style w:type="paragraph" w:styleId="Footnote" w:customStyle="1">
    <w:name w:val="Footnote Text"/>
    <w:basedOn w:val="Normal"/>
    <w:link w:val="FootnoteChar"/>
    <w:qFormat/>
    <w:pPr>
      <w:spacing w:before="60" w:after="60"/>
      <w:ind w:left="0" w:hanging="0"/>
      <w:jc w:val="left"/>
    </w:pPr>
    <w:rPr>
      <w:rFonts w:ascii="Calibri" w:hAnsi="Calibri" w:eastAsia="Times New Roman" w:cs="Times New Roman"/>
      <w:lang w:val="de-DE" w:eastAsia="de-DE"/>
    </w:rPr>
  </w:style>
  <w:style w:type="paragraph" w:styleId="ReferenzEintrag" w:customStyle="1">
    <w:name w:val="Referenz_Eintrag"/>
    <w:basedOn w:val="BasisEintrag"/>
    <w:qFormat/>
    <w:pPr>
      <w:numPr>
        <w:ilvl w:val="0"/>
        <w:numId w:val="31"/>
      </w:numPr>
    </w:pPr>
    <w:rPr/>
  </w:style>
  <w:style w:type="paragraph" w:styleId="ReferenzReferenz" w:customStyle="1">
    <w:name w:val="Referenz_Referenz"/>
    <w:basedOn w:val="BasisReferenz"/>
    <w:qFormat/>
    <w:pPr/>
    <w:rPr/>
  </w:style>
  <w:style w:type="paragraph" w:styleId="AugenscheinEintrag" w:customStyle="1">
    <w:name w:val="Augenschein_Eintrag"/>
    <w:basedOn w:val="BasisEintrag"/>
    <w:qFormat/>
    <w:pPr>
      <w:numPr>
        <w:ilvl w:val="0"/>
        <w:numId w:val="14"/>
      </w:numPr>
    </w:pPr>
    <w:rPr/>
  </w:style>
  <w:style w:type="paragraph" w:styleId="AugenscheinReferenz" w:customStyle="1">
    <w:name w:val="Augenschein_Referenz"/>
    <w:basedOn w:val="BasisReferenz"/>
    <w:qFormat/>
    <w:pPr/>
    <w:rPr/>
  </w:style>
  <w:style w:type="paragraph" w:styleId="BeweisaussageEintrag" w:customStyle="1">
    <w:name w:val="Beweisaussage_Eintrag"/>
    <w:basedOn w:val="BasisEintrag"/>
    <w:qFormat/>
    <w:pPr>
      <w:numPr>
        <w:ilvl w:val="0"/>
        <w:numId w:val="17"/>
      </w:numPr>
    </w:pPr>
    <w:rPr/>
  </w:style>
  <w:style w:type="paragraph" w:styleId="BeweisaussageReferenz" w:customStyle="1">
    <w:name w:val="Beweisaussage_Referenz"/>
    <w:basedOn w:val="BasisReferenz"/>
    <w:qFormat/>
    <w:pPr/>
    <w:rPr/>
  </w:style>
  <w:style w:type="paragraph" w:styleId="EditionEintrag" w:customStyle="1">
    <w:name w:val="Edition_Eintrag"/>
    <w:basedOn w:val="BasisEintrag"/>
    <w:qFormat/>
    <w:pPr>
      <w:numPr>
        <w:ilvl w:val="0"/>
        <w:numId w:val="21"/>
      </w:numPr>
    </w:pPr>
    <w:rPr/>
  </w:style>
  <w:style w:type="paragraph" w:styleId="EditionReferenz" w:customStyle="1">
    <w:name w:val="Edition_Referenz"/>
    <w:basedOn w:val="BasisReferenz"/>
    <w:qFormat/>
    <w:pPr/>
    <w:rPr/>
  </w:style>
  <w:style w:type="paragraph" w:styleId="GutachtenEintrag" w:customStyle="1">
    <w:name w:val="Gutachten_Eintrag"/>
    <w:basedOn w:val="BasisEintrag"/>
    <w:qFormat/>
    <w:pPr>
      <w:numPr>
        <w:ilvl w:val="0"/>
        <w:numId w:val="25"/>
      </w:numPr>
    </w:pPr>
    <w:rPr/>
  </w:style>
  <w:style w:type="paragraph" w:styleId="GutachtenReferenz" w:customStyle="1">
    <w:name w:val="Gutachten_Referenz"/>
    <w:basedOn w:val="BasisReferenz"/>
    <w:qFormat/>
    <w:pPr/>
    <w:rPr/>
  </w:style>
  <w:style w:type="paragraph" w:styleId="ParteibefragungEintrag" w:customStyle="1">
    <w:name w:val="Parteibefragung_Eintrag"/>
    <w:basedOn w:val="BasisEintrag"/>
    <w:qFormat/>
    <w:pPr>
      <w:numPr>
        <w:ilvl w:val="0"/>
        <w:numId w:val="29"/>
      </w:numPr>
    </w:pPr>
    <w:rPr/>
  </w:style>
  <w:style w:type="paragraph" w:styleId="ParteibefragungReferenz" w:customStyle="1">
    <w:name w:val="Parteibefragung_Referenz"/>
    <w:basedOn w:val="BasisReferenz"/>
    <w:qFormat/>
    <w:pPr/>
    <w:rPr/>
  </w:style>
  <w:style w:type="paragraph" w:styleId="SchriftlicheAuskunftEintrag" w:customStyle="1">
    <w:name w:val="SchriftlicheAuskunft_Eintrag"/>
    <w:basedOn w:val="BasisEintrag"/>
    <w:qFormat/>
    <w:pPr>
      <w:numPr>
        <w:ilvl w:val="0"/>
        <w:numId w:val="33"/>
      </w:numPr>
    </w:pPr>
    <w:rPr/>
  </w:style>
  <w:style w:type="paragraph" w:styleId="SchriftlicheAuskunftReferenz" w:customStyle="1">
    <w:name w:val="SchriftlicheAuskunft_Referenz"/>
    <w:basedOn w:val="BasisReferenz"/>
    <w:qFormat/>
    <w:pPr/>
    <w:rPr/>
  </w:style>
  <w:style w:type="paragraph" w:styleId="GegnerischeBeilageEintrag" w:customStyle="1">
    <w:name w:val="GegnerischeBeilage_Eintrag"/>
    <w:basedOn w:val="BasisEintrag"/>
    <w:qFormat/>
    <w:pPr>
      <w:numPr>
        <w:ilvl w:val="0"/>
        <w:numId w:val="24"/>
      </w:numPr>
    </w:pPr>
    <w:rPr/>
  </w:style>
  <w:style w:type="paragraph" w:styleId="GegnerischeBeilageReferenz" w:customStyle="1">
    <w:name w:val="GegnerischeBeilage_Referenz"/>
    <w:basedOn w:val="BasisReferenz"/>
    <w:qFormat/>
    <w:pPr/>
    <w:rPr/>
  </w:style>
  <w:style w:type="paragraph" w:styleId="Titleindentwithoutnum" w:customStyle="1">
    <w:name w:val="Title_indent_without_num"/>
    <w:basedOn w:val="HyphenationAndSpacing"/>
    <w:next w:val="Text1"/>
    <w:qFormat/>
    <w:pPr>
      <w:keepNext w:val="true"/>
      <w:spacing w:before="480" w:after="0"/>
      <w:ind w:left="709" w:hanging="0"/>
      <w:jc w:val="left"/>
    </w:pPr>
    <w:rPr>
      <w:b/>
      <w:sz w:val="28"/>
    </w:rPr>
  </w:style>
  <w:style w:type="paragraph" w:styleId="Titlewithoutnum" w:customStyle="1">
    <w:name w:val="Title_without_num"/>
    <w:basedOn w:val="HyphenationAndSpacing"/>
    <w:next w:val="Text"/>
    <w:qFormat/>
    <w:pPr>
      <w:keepNext w:val="true"/>
      <w:spacing w:before="480" w:after="0"/>
      <w:jc w:val="left"/>
    </w:pPr>
    <w:rPr>
      <w:b/>
      <w:sz w:val="28"/>
    </w:rPr>
  </w:style>
  <w:style w:type="paragraph" w:styleId="Doctype" w:customStyle="1">
    <w:name w:val="Doc_type"/>
    <w:basedOn w:val="HyphenationNorSpacing"/>
    <w:qFormat/>
    <w:pPr>
      <w:spacing w:lineRule="auto" w:line="300"/>
    </w:pPr>
    <w:rPr>
      <w:b/>
      <w:sz w:val="32"/>
    </w:rPr>
  </w:style>
  <w:style w:type="paragraph" w:styleId="Doccomment" w:customStyle="1">
    <w:name w:val="Doc_comment"/>
    <w:basedOn w:val="HyphenationNorSpacing"/>
    <w:qFormat/>
    <w:pPr>
      <w:spacing w:lineRule="auto" w:line="240"/>
      <w:jc w:val="right"/>
    </w:pPr>
    <w:rPr>
      <w:rFonts w:ascii="Arial" w:hAnsi="Arial"/>
      <w:b/>
      <w:sz w:val="22"/>
    </w:rPr>
  </w:style>
  <w:style w:type="paragraph" w:styleId="Definition" w:customStyle="1">
    <w:name w:val="Definition"/>
    <w:basedOn w:val="HyphenationAndSpacing"/>
    <w:next w:val="Text1"/>
    <w:qFormat/>
    <w:pPr>
      <w:tabs>
        <w:tab w:val="clear" w:pos="708"/>
        <w:tab w:val="left" w:pos="3544" w:leader="none"/>
      </w:tabs>
      <w:spacing w:before="120" w:after="0"/>
      <w:ind w:left="3544" w:hanging="2835"/>
    </w:pPr>
    <w:rPr/>
  </w:style>
  <w:style w:type="paragraph" w:styleId="Titleschedule" w:customStyle="1">
    <w:name w:val="Title_schedule"/>
    <w:basedOn w:val="HyphenationAndSpacing"/>
    <w:next w:val="Text"/>
    <w:qFormat/>
    <w:pPr>
      <w:spacing w:before="0" w:after="0"/>
      <w:jc w:val="left"/>
    </w:pPr>
    <w:rPr>
      <w:b/>
    </w:rPr>
  </w:style>
  <w:style w:type="paragraph" w:styleId="Index1">
    <w:name w:val="index 1"/>
    <w:basedOn w:val="Normal"/>
    <w:next w:val="Normal"/>
    <w:autoRedefine/>
    <w:uiPriority w:val="99"/>
    <w:semiHidden/>
    <w:unhideWhenUsed/>
    <w:qFormat/>
    <w:pPr>
      <w:spacing w:lineRule="auto" w:line="240"/>
      <w:ind w:left="240" w:hanging="240"/>
    </w:pPr>
    <w:rPr/>
  </w:style>
  <w:style w:type="paragraph" w:styleId="Titlesmallwithoutnum" w:customStyle="1">
    <w:name w:val="Title_small_without_num"/>
    <w:basedOn w:val="HyphenationAndSpacing"/>
    <w:next w:val="Text"/>
    <w:qFormat/>
    <w:pPr>
      <w:keepNext w:val="true"/>
      <w:spacing w:before="480" w:after="0"/>
      <w:outlineLvl w:val="0"/>
    </w:pPr>
    <w:rPr>
      <w:b/>
    </w:rPr>
  </w:style>
  <w:style w:type="paragraph" w:styleId="AugenscheinArEintrag" w:customStyle="1">
    <w:name w:val="AugenscheinAr_Eintrag"/>
    <w:basedOn w:val="BasisEintrag"/>
    <w:qFormat/>
    <w:pPr>
      <w:numPr>
        <w:ilvl w:val="0"/>
        <w:numId w:val="15"/>
      </w:numPr>
    </w:pPr>
    <w:rPr/>
  </w:style>
  <w:style w:type="paragraph" w:styleId="AugenscheinArReferenz" w:customStyle="1">
    <w:name w:val="AugenscheinAr_Referenz"/>
    <w:basedOn w:val="BasisReferenz"/>
    <w:qFormat/>
    <w:pPr/>
    <w:rPr/>
  </w:style>
  <w:style w:type="paragraph" w:styleId="BOMArEintrag" w:customStyle="1">
    <w:name w:val="BOMAr_Eintrag"/>
    <w:basedOn w:val="BasisEintrag"/>
    <w:qFormat/>
    <w:pPr>
      <w:numPr>
        <w:ilvl w:val="0"/>
        <w:numId w:val="20"/>
      </w:numPr>
    </w:pPr>
    <w:rPr/>
  </w:style>
  <w:style w:type="paragraph" w:styleId="BOMArReferenz" w:customStyle="1">
    <w:name w:val="BOMAr_Referenz"/>
    <w:basedOn w:val="BasisReferenz"/>
    <w:qFormat/>
    <w:pPr/>
    <w:rPr/>
  </w:style>
  <w:style w:type="paragraph" w:styleId="EditionArEintrag" w:customStyle="1">
    <w:name w:val="EditionAr_Eintrag"/>
    <w:basedOn w:val="BasisEintrag"/>
    <w:qFormat/>
    <w:pPr>
      <w:numPr>
        <w:ilvl w:val="0"/>
        <w:numId w:val="22"/>
      </w:numPr>
    </w:pPr>
    <w:rPr/>
  </w:style>
  <w:style w:type="paragraph" w:styleId="EditionArReferenz" w:customStyle="1">
    <w:name w:val="EditionAr_Referenz"/>
    <w:basedOn w:val="BasisReferenz"/>
    <w:qFormat/>
    <w:pPr/>
    <w:rPr/>
  </w:style>
  <w:style w:type="paragraph" w:styleId="Exhibit" w:customStyle="1">
    <w:name w:val="Exhibit"/>
    <w:basedOn w:val="Normal"/>
    <w:next w:val="Normal"/>
    <w:qFormat/>
    <w:pPr>
      <w:widowControl w:val="false"/>
      <w:numPr>
        <w:ilvl w:val="0"/>
        <w:numId w:val="23"/>
      </w:numPr>
      <w:spacing w:lineRule="atLeast" w:line="250" w:before="130" w:after="0"/>
      <w:ind w:right="1134" w:hanging="0"/>
      <w:jc w:val="left"/>
    </w:pPr>
    <w:rPr>
      <w:rFonts w:eastAsia="Times New Roman" w:cs="Times New Roman"/>
      <w:kern w:val="2"/>
      <w:sz w:val="20"/>
      <w:szCs w:val="20"/>
    </w:rPr>
  </w:style>
  <w:style w:type="paragraph" w:styleId="GutachtenArEintrag" w:customStyle="1">
    <w:name w:val="GutachtenAr_Eintrag"/>
    <w:basedOn w:val="BasisEintrag"/>
    <w:qFormat/>
    <w:pPr>
      <w:numPr>
        <w:ilvl w:val="0"/>
        <w:numId w:val="26"/>
      </w:numPr>
    </w:pPr>
    <w:rPr/>
  </w:style>
  <w:style w:type="paragraph" w:styleId="GutachtenArReferenz" w:customStyle="1">
    <w:name w:val="GutachtenAr_Referenz"/>
    <w:basedOn w:val="BasisReferenz"/>
    <w:qFormat/>
    <w:pPr/>
    <w:rPr/>
  </w:style>
  <w:style w:type="paragraph" w:styleId="SachverstaendigenZeugnisEintrag" w:customStyle="1">
    <w:name w:val="SachverstaendigenZeugnis_Eintrag"/>
    <w:basedOn w:val="BasisEintrag"/>
    <w:qFormat/>
    <w:pPr>
      <w:numPr>
        <w:ilvl w:val="0"/>
        <w:numId w:val="32"/>
      </w:numPr>
    </w:pPr>
    <w:rPr/>
  </w:style>
  <w:style w:type="paragraph" w:styleId="SachverstaendigenZeugnisReferenz" w:customStyle="1">
    <w:name w:val="SachverstaendigenZeugnis_Referenz"/>
    <w:basedOn w:val="BasisReferenz"/>
    <w:qFormat/>
    <w:pPr/>
    <w:rPr/>
  </w:style>
  <w:style w:type="paragraph" w:styleId="RubrumBold" w:customStyle="1">
    <w:name w:val="Rubrum_Bold"/>
    <w:basedOn w:val="HyphenationNorSpacing"/>
    <w:next w:val="Text"/>
    <w:link w:val="RubrumBoldChar"/>
    <w:qFormat/>
    <w:pPr>
      <w:spacing w:lineRule="auto" w:line="300" w:before="240" w:after="0"/>
    </w:pPr>
    <w:rPr>
      <w:b/>
    </w:rPr>
  </w:style>
  <w:style w:type="paragraph" w:styleId="BulletText" w:customStyle="1">
    <w:name w:val="______Bullet_Text"/>
    <w:basedOn w:val="HyphenationAndSpacing"/>
    <w:qFormat/>
    <w:pPr>
      <w:numPr>
        <w:ilvl w:val="6"/>
        <w:numId w:val="12"/>
      </w:numPr>
      <w:spacing w:before="120" w:after="0"/>
    </w:pPr>
    <w:rPr/>
  </w:style>
  <w:style w:type="paragraph" w:styleId="IText" w:customStyle="1">
    <w:name w:val="____i_Text"/>
    <w:basedOn w:val="HyphenationAndSpacing"/>
    <w:qFormat/>
    <w:pPr>
      <w:numPr>
        <w:ilvl w:val="5"/>
        <w:numId w:val="12"/>
      </w:numPr>
      <w:spacing w:before="120" w:after="0"/>
    </w:pPr>
    <w:rPr/>
  </w:style>
  <w:style w:type="paragraph" w:styleId="AText" w:customStyle="1">
    <w:name w:val="__a_Text"/>
    <w:basedOn w:val="HyphenationAndSpacing"/>
    <w:qFormat/>
    <w:pPr>
      <w:numPr>
        <w:ilvl w:val="4"/>
        <w:numId w:val="12"/>
      </w:numPr>
      <w:spacing w:before="120" w:after="0"/>
    </w:pPr>
    <w:rPr/>
  </w:style>
  <w:style w:type="paragraph" w:styleId="BulletList2" w:customStyle="1">
    <w:name w:val="Bullet_List"/>
    <w:basedOn w:val="HyphenationAndSpacing"/>
    <w:qFormat/>
    <w:pPr>
      <w:numPr>
        <w:ilvl w:val="0"/>
        <w:numId w:val="10"/>
      </w:numPr>
    </w:pPr>
    <w:rPr/>
  </w:style>
  <w:style w:type="paragraph" w:styleId="IHeading" w:customStyle="1">
    <w:name w:val="i_______Heading"/>
    <w:basedOn w:val="HyphenationAndSpacing"/>
    <w:next w:val="ParaText"/>
    <w:qFormat/>
    <w:pPr>
      <w:keepNext w:val="true"/>
      <w:numPr>
        <w:ilvl w:val="7"/>
        <w:numId w:val="27"/>
      </w:numPr>
      <w:spacing w:before="360" w:after="0"/>
      <w:jc w:val="left"/>
      <w:outlineLvl w:val="7"/>
    </w:pPr>
    <w:rPr>
      <w:i/>
    </w:rPr>
  </w:style>
  <w:style w:type="paragraph" w:styleId="Marginnumwithspacing" w:customStyle="1">
    <w:name w:val="Margin_num_with_spacing"/>
    <w:basedOn w:val="HyphenationAndSpacing"/>
    <w:qFormat/>
    <w:pPr/>
    <w:rPr/>
  </w:style>
  <w:style w:type="paragraph" w:styleId="ZeugeArEintrag" w:customStyle="1">
    <w:name w:val="ZeugeAr_Eintrag"/>
    <w:basedOn w:val="BasisEintrag"/>
    <w:qFormat/>
    <w:pPr>
      <w:numPr>
        <w:ilvl w:val="0"/>
        <w:numId w:val="35"/>
      </w:numPr>
    </w:pPr>
    <w:rPr/>
  </w:style>
  <w:style w:type="paragraph" w:styleId="ZeugeArReferenz" w:customStyle="1">
    <w:name w:val="ZeugeAr_Referenz"/>
    <w:basedOn w:val="BasisReferenz"/>
    <w:qFormat/>
    <w:pPr/>
    <w:rPr/>
  </w:style>
  <w:style w:type="paragraph" w:styleId="IHeading1" w:customStyle="1">
    <w:name w:val="I_______Heading"/>
    <w:basedOn w:val="HyphenationAndSpacing"/>
    <w:next w:val="ParaText"/>
    <w:qFormat/>
    <w:pPr>
      <w:keepNext w:val="true"/>
      <w:numPr>
        <w:ilvl w:val="0"/>
        <w:numId w:val="27"/>
      </w:numPr>
      <w:spacing w:before="480" w:after="0"/>
      <w:jc w:val="left"/>
      <w:outlineLvl w:val="0"/>
    </w:pPr>
    <w:rPr>
      <w:b/>
      <w:caps/>
      <w:sz w:val="28"/>
    </w:rPr>
  </w:style>
  <w:style w:type="paragraph" w:styleId="Partei" w:customStyle="1">
    <w:name w:val="Partei"/>
    <w:basedOn w:val="HyphenationNorSpacing"/>
    <w:qFormat/>
    <w:pPr>
      <w:jc w:val="right"/>
    </w:pPr>
    <w:rPr>
      <w:b/>
    </w:rPr>
  </w:style>
  <w:style w:type="paragraph" w:styleId="IHeading2" w:customStyle="1">
    <w:name w:val="I_______Heading2"/>
    <w:basedOn w:val="HyphenationAndSpacing"/>
    <w:next w:val="ParaText"/>
    <w:qFormat/>
    <w:pPr>
      <w:keepNext w:val="true"/>
      <w:tabs>
        <w:tab w:val="clear" w:pos="708"/>
        <w:tab w:val="left" w:pos="709" w:leader="none"/>
      </w:tabs>
      <w:spacing w:lineRule="auto" w:line="276" w:before="480" w:after="0"/>
      <w:ind w:left="709" w:hanging="709"/>
      <w:jc w:val="left"/>
      <w:outlineLvl w:val="0"/>
    </w:pPr>
    <w:rPr>
      <w:b/>
      <w:caps/>
      <w:sz w:val="28"/>
    </w:rPr>
  </w:style>
  <w:style w:type="paragraph" w:styleId="Paranum" w:customStyle="1">
    <w:name w:val="Para_num"/>
    <w:basedOn w:val="HyphenationAndSpacing"/>
    <w:qFormat/>
    <w:pPr>
      <w:spacing w:lineRule="auto" w:line="276"/>
      <w:ind w:left="709" w:hanging="709"/>
    </w:pPr>
    <w:rPr/>
  </w:style>
  <w:style w:type="paragraph" w:styleId="Heading111112113" w:customStyle="1">
    <w:name w:val="Heading_111_112_113"/>
    <w:basedOn w:val="HyphenationAndSpacing"/>
    <w:next w:val="Paranum"/>
    <w:qFormat/>
    <w:pPr>
      <w:keepNext w:val="true"/>
      <w:tabs>
        <w:tab w:val="clear" w:pos="708"/>
        <w:tab w:val="left" w:pos="709" w:leader="none"/>
      </w:tabs>
      <w:spacing w:lineRule="auto" w:line="276" w:before="360" w:after="0"/>
      <w:ind w:left="709" w:hanging="709"/>
      <w:jc w:val="left"/>
      <w:outlineLvl w:val="4"/>
    </w:pPr>
    <w:rPr>
      <w:b/>
    </w:rPr>
  </w:style>
  <w:style w:type="paragraph" w:styleId="Listbullet" w:customStyle="1">
    <w:name w:val="List_bullet"/>
    <w:basedOn w:val="HyphenationAndSpacing"/>
    <w:qFormat/>
    <w:pPr>
      <w:spacing w:lineRule="auto" w:line="276"/>
      <w:ind w:left="1418" w:hanging="709"/>
    </w:pPr>
    <w:rPr/>
  </w:style>
  <w:style w:type="paragraph" w:styleId="RandNrText" w:customStyle="1">
    <w:name w:val="RandNr-Text"/>
    <w:basedOn w:val="ListParagraph"/>
    <w:link w:val="RandNrTextZchn"/>
    <w:qFormat/>
    <w:pPr>
      <w:numPr>
        <w:ilvl w:val="0"/>
        <w:numId w:val="2"/>
      </w:numPr>
      <w:tabs>
        <w:tab w:val="clear" w:pos="708"/>
        <w:tab w:val="left" w:pos="851" w:leader="none"/>
      </w:tabs>
      <w:spacing w:lineRule="auto" w:line="312" w:before="240" w:after="120"/>
      <w:contextualSpacing w:val="false"/>
    </w:pPr>
    <w:rPr>
      <w:rFonts w:ascii="Calibri" w:hAnsi="Calibri" w:eastAsia="Times New Roman" w:cs="Calibri"/>
      <w:sz w:val="22"/>
      <w:lang w:val="en-GB" w:eastAsia="de-DE"/>
    </w:rPr>
  </w:style>
  <w:style w:type="paragraph" w:styleId="AbbildungN" w:customStyle="1">
    <w:name w:val="Abbildung N"/>
    <w:basedOn w:val="Caption1"/>
    <w:link w:val="AbbildungNChar"/>
    <w:qFormat/>
    <w:pPr>
      <w:spacing w:lineRule="auto" w:line="312" w:before="0" w:after="120"/>
      <w:ind w:left="851" w:hanging="0"/>
      <w:jc w:val="left"/>
    </w:pPr>
    <w:rPr>
      <w:rFonts w:ascii="Calibri" w:hAnsi="Calibri" w:eastAsia="Times New Roman" w:cs="Times New Roman"/>
      <w:b w:val="false"/>
      <w:color w:val="000000" w:themeColor="text1"/>
      <w:lang w:val="de-DE" w:eastAsia="de-DE"/>
    </w:rPr>
  </w:style>
  <w:style w:type="paragraph" w:styleId="ListParagraph">
    <w:name w:val="List Paragraph"/>
    <w:basedOn w:val="Normal"/>
    <w:link w:val="ListParagraphChar"/>
    <w:uiPriority w:val="34"/>
    <w:qFormat/>
    <w:pPr>
      <w:spacing w:lineRule="auto" w:line="276" w:before="0" w:after="0"/>
      <w:ind w:left="720" w:hanging="0"/>
      <w:contextualSpacing/>
    </w:pPr>
    <w:rPr/>
  </w:style>
  <w:style w:type="paragraph" w:styleId="Caption1">
    <w:name w:val="caption"/>
    <w:basedOn w:val="Normal"/>
    <w:next w:val="Normal"/>
    <w:uiPriority w:val="35"/>
    <w:unhideWhenUsed/>
    <w:qFormat/>
    <w:pPr>
      <w:spacing w:lineRule="auto" w:line="240" w:before="0" w:after="200"/>
    </w:pPr>
    <w:rPr>
      <w:b/>
      <w:bCs/>
      <w:color w:val="4F81BD" w:themeColor="accent1"/>
      <w:sz w:val="18"/>
      <w:szCs w:val="18"/>
    </w:rPr>
  </w:style>
  <w:style w:type="paragraph" w:styleId="Default" w:customStyle="1">
    <w:name w:val="Default"/>
    <w:qFormat/>
    <w:pPr>
      <w:widowControl/>
      <w:suppressAutoHyphens w:val="true"/>
      <w:bidi w:val="0"/>
      <w:spacing w:lineRule="auto" w:line="240" w:before="0" w:after="0"/>
      <w:jc w:val="left"/>
    </w:pPr>
    <w:rPr>
      <w:rFonts w:ascii="Symbol" w:hAnsi="Symbol" w:eastAsia="Calibri" w:cs="Symbol"/>
      <w:color w:val="000000"/>
      <w:kern w:val="0"/>
      <w:sz w:val="24"/>
      <w:szCs w:val="24"/>
      <w:lang w:val="de-CH" w:eastAsia="en-US" w:bidi="ar-SA"/>
    </w:rPr>
  </w:style>
  <w:style w:type="paragraph" w:styleId="Heading111111121113" w:customStyle="1">
    <w:name w:val="Heading_1111_1112_1113"/>
    <w:basedOn w:val="Normal"/>
    <w:next w:val="Paranum"/>
    <w:qFormat/>
    <w:pPr>
      <w:keepNext w:val="true"/>
      <w:tabs>
        <w:tab w:val="clear" w:pos="708"/>
        <w:tab w:val="left" w:pos="709" w:leader="none"/>
      </w:tabs>
      <w:spacing w:before="360" w:after="0"/>
      <w:ind w:left="709" w:hanging="709"/>
      <w:jc w:val="left"/>
      <w:outlineLvl w:val="5"/>
    </w:pPr>
    <w:rPr>
      <w:rFonts w:eastAsia="Times New Roman"/>
      <w:b/>
    </w:rPr>
  </w:style>
  <w:style w:type="paragraph" w:styleId="Headingabc" w:customStyle="1">
    <w:name w:val="Heading_a_b_c"/>
    <w:basedOn w:val="Normal"/>
    <w:next w:val="Paranum"/>
    <w:qFormat/>
    <w:pPr>
      <w:keepNext w:val="true"/>
      <w:tabs>
        <w:tab w:val="clear" w:pos="708"/>
        <w:tab w:val="left" w:pos="709" w:leader="none"/>
      </w:tabs>
      <w:spacing w:before="360" w:after="0"/>
      <w:ind w:left="709" w:hanging="709"/>
      <w:jc w:val="left"/>
      <w:outlineLvl w:val="6"/>
    </w:pPr>
    <w:rPr>
      <w:rFonts w:eastAsia="Times New Roman"/>
      <w:b/>
    </w:rPr>
  </w:style>
  <w:style w:type="paragraph" w:styleId="List123" w:customStyle="1">
    <w:name w:val="List_1_2_3"/>
    <w:basedOn w:val="HyphenationAndSpacing"/>
    <w:qFormat/>
    <w:pPr>
      <w:spacing w:lineRule="auto" w:line="276"/>
    </w:pPr>
    <w:rPr/>
  </w:style>
  <w:style w:type="paragraph" w:styleId="List111213" w:customStyle="1">
    <w:name w:val="List_11_12_13"/>
    <w:basedOn w:val="HyphenationAndSpacing"/>
    <w:qFormat/>
    <w:pPr>
      <w:spacing w:lineRule="auto" w:line="276"/>
    </w:pPr>
    <w:rPr/>
  </w:style>
  <w:style w:type="paragraph" w:styleId="List111112113" w:customStyle="1">
    <w:name w:val="List_111_112_113"/>
    <w:basedOn w:val="HyphenationAndSpacing"/>
    <w:qFormat/>
    <w:pPr>
      <w:spacing w:lineRule="auto" w:line="276"/>
    </w:pPr>
    <w:rPr/>
  </w:style>
  <w:style w:type="paragraph" w:styleId="Listabc" w:customStyle="1">
    <w:name w:val="List_a_b_c"/>
    <w:basedOn w:val="HyphenationAndSpacing"/>
    <w:qFormat/>
    <w:pPr>
      <w:spacing w:lineRule="auto" w:line="276"/>
    </w:pPr>
    <w:rPr/>
  </w:style>
  <w:style w:type="paragraph" w:styleId="Listindent123" w:customStyle="1">
    <w:name w:val="List_indent_1_2_3"/>
    <w:basedOn w:val="HyphenationAndSpacing"/>
    <w:qFormat/>
    <w:pPr>
      <w:spacing w:lineRule="auto" w:line="276"/>
    </w:pPr>
    <w:rPr/>
  </w:style>
  <w:style w:type="paragraph" w:styleId="Listindent111213" w:customStyle="1">
    <w:name w:val="List_indent_11_12_13"/>
    <w:basedOn w:val="HyphenationAndSpacing"/>
    <w:qFormat/>
    <w:pPr>
      <w:spacing w:lineRule="auto" w:line="276"/>
    </w:pPr>
    <w:rPr/>
  </w:style>
  <w:style w:type="paragraph" w:styleId="Listindent111112113" w:customStyle="1">
    <w:name w:val="List_indent_111_112_113"/>
    <w:basedOn w:val="HyphenationAndSpacing"/>
    <w:qFormat/>
    <w:pPr>
      <w:spacing w:lineRule="auto" w:line="276"/>
    </w:pPr>
    <w:rPr/>
  </w:style>
  <w:style w:type="paragraph" w:styleId="Listindentabc" w:customStyle="1">
    <w:name w:val="List_indent_a_b_c"/>
    <w:basedOn w:val="HyphenationAndSpacing"/>
    <w:qFormat/>
    <w:pPr>
      <w:spacing w:lineRule="auto" w:line="276"/>
    </w:pPr>
    <w:rPr/>
  </w:style>
  <w:style w:type="paragraph" w:styleId="Listindentbullet" w:customStyle="1">
    <w:name w:val="List_indent_bullet"/>
    <w:basedOn w:val="HyphenationAndSpacing"/>
    <w:qFormat/>
    <w:pPr>
      <w:spacing w:lineRule="auto" w:line="276"/>
    </w:pPr>
    <w:rPr/>
  </w:style>
  <w:style w:type="paragraph" w:styleId="Normalwithspacing" w:customStyle="1">
    <w:name w:val="Normal_with_spacing"/>
    <w:basedOn w:val="HyphenationAndSpacing"/>
    <w:qFormat/>
    <w:pPr>
      <w:spacing w:lineRule="auto" w:line="276"/>
    </w:pPr>
    <w:rPr/>
  </w:style>
  <w:style w:type="paragraph" w:styleId="Normalindentwithspacing" w:customStyle="1">
    <w:name w:val="Normal_indent_with_spacing"/>
    <w:basedOn w:val="HyphenationAndSpacing"/>
    <w:qFormat/>
    <w:pPr>
      <w:spacing w:lineRule="auto" w:line="276"/>
      <w:ind w:left="709" w:hanging="0"/>
    </w:pPr>
    <w:rPr/>
  </w:style>
  <w:style w:type="paragraph" w:styleId="Heading123" w:customStyle="1">
    <w:name w:val="Heading_1_2_3"/>
    <w:basedOn w:val="HyphenationAndSpacing"/>
    <w:next w:val="Paranum"/>
    <w:qFormat/>
    <w:pPr>
      <w:keepNext w:val="true"/>
      <w:spacing w:lineRule="auto" w:line="276" w:before="480" w:after="0"/>
      <w:jc w:val="left"/>
      <w:outlineLvl w:val="2"/>
    </w:pPr>
    <w:rPr>
      <w:b/>
    </w:rPr>
  </w:style>
  <w:style w:type="paragraph" w:styleId="Heading111213" w:customStyle="1">
    <w:name w:val="Heading_11_12_13"/>
    <w:basedOn w:val="HyphenationAndSpacing"/>
    <w:next w:val="Paranum"/>
    <w:qFormat/>
    <w:pPr>
      <w:keepNext w:val="true"/>
      <w:spacing w:lineRule="auto" w:line="276" w:before="360" w:after="0"/>
      <w:jc w:val="left"/>
      <w:outlineLvl w:val="3"/>
    </w:pPr>
    <w:rPr>
      <w:b/>
    </w:rPr>
  </w:style>
  <w:style w:type="paragraph" w:styleId="HeadingABC1" w:customStyle="1">
    <w:name w:val="Heading_A_B_C"/>
    <w:basedOn w:val="HyphenationAndSpacing"/>
    <w:next w:val="Paranum"/>
    <w:qFormat/>
    <w:pPr>
      <w:keepNext w:val="true"/>
      <w:spacing w:lineRule="auto" w:line="276" w:before="480" w:after="0"/>
      <w:jc w:val="left"/>
      <w:outlineLvl w:val="1"/>
    </w:pPr>
    <w:rPr>
      <w:b/>
      <w:sz w:val="26"/>
    </w:rPr>
  </w:style>
  <w:style w:type="paragraph" w:styleId="Title123" w:customStyle="1">
    <w:name w:val="Title_1_2_3"/>
    <w:basedOn w:val="HyphenationAndSpacing"/>
    <w:next w:val="Normalindentwithspacing"/>
    <w:qFormat/>
    <w:pPr>
      <w:keepNext w:val="true"/>
      <w:spacing w:lineRule="auto" w:line="276" w:before="480" w:after="0"/>
      <w:jc w:val="left"/>
      <w:outlineLvl w:val="2"/>
    </w:pPr>
    <w:rPr>
      <w:b/>
    </w:rPr>
  </w:style>
  <w:style w:type="paragraph" w:styleId="Headingiiiiii" w:customStyle="1">
    <w:name w:val="Heading_i_ii_iii"/>
    <w:basedOn w:val="HyphenationAndSpacing"/>
    <w:next w:val="Paranum"/>
    <w:qFormat/>
    <w:pPr>
      <w:keepNext w:val="true"/>
      <w:spacing w:lineRule="auto" w:line="276" w:before="360" w:after="0"/>
      <w:jc w:val="left"/>
      <w:outlineLvl w:val="7"/>
    </w:pPr>
    <w:rPr>
      <w:b/>
    </w:rPr>
  </w:style>
  <w:style w:type="paragraph" w:styleId="HeadingIIIIII1" w:customStyle="1">
    <w:name w:val="Heading_I_II_III"/>
    <w:basedOn w:val="HyphenationAndSpacing"/>
    <w:next w:val="Paranum"/>
    <w:qFormat/>
    <w:pPr>
      <w:keepNext w:val="true"/>
      <w:spacing w:lineRule="auto" w:line="276" w:before="480" w:after="0"/>
      <w:jc w:val="left"/>
      <w:outlineLvl w:val="0"/>
    </w:pPr>
    <w:rPr>
      <w:b/>
      <w:caps/>
      <w:sz w:val="28"/>
    </w:rPr>
  </w:style>
  <w:style w:type="paragraph" w:styleId="Headingindentwithoutnum" w:customStyle="1">
    <w:name w:val="Heading_indent_without_num"/>
    <w:basedOn w:val="HyphenationAndSpacing"/>
    <w:next w:val="Paranum"/>
    <w:qFormat/>
    <w:pPr>
      <w:keepNext w:val="true"/>
      <w:spacing w:lineRule="auto" w:line="276" w:before="360" w:after="0"/>
      <w:ind w:left="709" w:hanging="0"/>
      <w:jc w:val="left"/>
    </w:pPr>
    <w:rPr>
      <w:b/>
    </w:rPr>
  </w:style>
  <w:style w:type="paragraph" w:styleId="Preamble" w:customStyle="1">
    <w:name w:val="Preamble"/>
    <w:basedOn w:val="HyphenationAndSpacing"/>
    <w:qFormat/>
    <w:pPr>
      <w:spacing w:lineRule="auto" w:line="276"/>
    </w:pPr>
    <w:rPr/>
  </w:style>
  <w:style w:type="paragraph" w:styleId="Listiiiiii" w:customStyle="1">
    <w:name w:val="List_i_ii_iii"/>
    <w:basedOn w:val="HyphenationAndSpacing"/>
    <w:qFormat/>
    <w:pPr>
      <w:spacing w:lineRule="auto" w:line="276" w:before="240" w:after="0"/>
      <w:contextualSpacing/>
    </w:pPr>
    <w:rPr/>
  </w:style>
  <w:style w:type="paragraph" w:styleId="Listindentiiiiii" w:customStyle="1">
    <w:name w:val="List_indent_i_ii_iii"/>
    <w:basedOn w:val="HyphenationAndSpacing"/>
    <w:qFormat/>
    <w:pPr>
      <w:spacing w:lineRule="auto" w:line="276" w:before="240" w:after="0"/>
      <w:contextualSpacing/>
    </w:pPr>
    <w:rPr/>
  </w:style>
  <w:style w:type="paragraph" w:styleId="Title111213" w:customStyle="1">
    <w:name w:val="Title_11_12_13"/>
    <w:basedOn w:val="HyphenationAndSpacing"/>
    <w:next w:val="Normalindentwithspacing"/>
    <w:qFormat/>
    <w:pPr>
      <w:keepNext w:val="true"/>
      <w:spacing w:lineRule="auto" w:line="276" w:before="360" w:after="0"/>
      <w:jc w:val="left"/>
      <w:outlineLvl w:val="3"/>
    </w:pPr>
    <w:rPr>
      <w:b/>
      <w:i/>
    </w:rPr>
  </w:style>
  <w:style w:type="paragraph" w:styleId="Title111112113" w:customStyle="1">
    <w:name w:val="Title_111_112_113"/>
    <w:basedOn w:val="HyphenationAndSpacing"/>
    <w:next w:val="Normalindentwithspacing"/>
    <w:qFormat/>
    <w:pPr>
      <w:keepNext w:val="true"/>
      <w:spacing w:lineRule="auto" w:line="276" w:before="360" w:after="0"/>
      <w:jc w:val="left"/>
      <w:outlineLvl w:val="4"/>
    </w:pPr>
    <w:rPr>
      <w:b/>
      <w:i/>
    </w:rPr>
  </w:style>
  <w:style w:type="paragraph" w:styleId="Title111111121113" w:customStyle="1">
    <w:name w:val="Title_1111_1112_1113"/>
    <w:basedOn w:val="HyphenationAndSpacing"/>
    <w:next w:val="Normalindentwithspacing"/>
    <w:qFormat/>
    <w:pPr>
      <w:keepNext w:val="true"/>
      <w:spacing w:lineRule="auto" w:line="276" w:before="360" w:after="0"/>
      <w:jc w:val="left"/>
      <w:outlineLvl w:val="5"/>
    </w:pPr>
    <w:rPr>
      <w:i/>
    </w:rPr>
  </w:style>
  <w:style w:type="paragraph" w:styleId="TitleABC" w:customStyle="1">
    <w:name w:val="Title_A_B_C"/>
    <w:basedOn w:val="HyphenationAndSpacing"/>
    <w:next w:val="Normalindentwithspacing"/>
    <w:qFormat/>
    <w:pPr>
      <w:keepNext w:val="true"/>
      <w:spacing w:lineRule="auto" w:line="276" w:before="480" w:after="0"/>
      <w:jc w:val="left"/>
      <w:outlineLvl w:val="1"/>
    </w:pPr>
    <w:rPr>
      <w:b/>
    </w:rPr>
  </w:style>
  <w:style w:type="paragraph" w:styleId="TitleIIIIII" w:customStyle="1">
    <w:name w:val="Title_I_II_III"/>
    <w:basedOn w:val="HyphenationAndSpacing"/>
    <w:next w:val="Normalindentwithspacing"/>
    <w:qFormat/>
    <w:pPr>
      <w:keepNext w:val="true"/>
      <w:spacing w:lineRule="auto" w:line="276" w:before="480" w:after="0"/>
      <w:jc w:val="left"/>
      <w:outlineLvl w:val="0"/>
    </w:pPr>
    <w:rPr>
      <w:b/>
      <w:caps/>
      <w:sz w:val="28"/>
    </w:rPr>
  </w:style>
  <w:style w:type="paragraph" w:styleId="Headingitalic" w:customStyle="1">
    <w:name w:val="Heading_italic"/>
    <w:basedOn w:val="Normal"/>
    <w:next w:val="Paranum"/>
    <w:qFormat/>
    <w:pPr>
      <w:keepNext w:val="true"/>
      <w:spacing w:lineRule="auto" w:line="276" w:before="360" w:after="0"/>
      <w:jc w:val="left"/>
      <w:outlineLvl w:val="8"/>
    </w:pPr>
    <w:rPr>
      <w:rFonts w:eastAsia="Times New Roman"/>
      <w:i/>
    </w:rPr>
  </w:style>
  <w:style w:type="paragraph" w:styleId="Bcc1" w:customStyle="1">
    <w:name w:val="bcc_1"/>
    <w:basedOn w:val="HyphenationNorSpacing"/>
    <w:next w:val="Bccn"/>
    <w:qFormat/>
    <w:pPr>
      <w:keepNext w:val="true"/>
      <w:pageBreakBefore/>
      <w:spacing w:lineRule="auto" w:line="276" w:before="240" w:after="0"/>
      <w:ind w:left="709" w:hanging="709"/>
    </w:pPr>
    <w:rPr/>
  </w:style>
  <w:style w:type="paragraph" w:styleId="Bccn" w:customStyle="1">
    <w:name w:val="bcc_n"/>
    <w:basedOn w:val="HyphenationNorSpacing"/>
    <w:qFormat/>
    <w:pPr>
      <w:keepNext w:val="true"/>
      <w:spacing w:lineRule="auto" w:line="276"/>
      <w:ind w:left="709" w:hanging="0"/>
    </w:pPr>
    <w:rPr/>
  </w:style>
  <w:style w:type="paragraph" w:styleId="Cc1" w:customStyle="1">
    <w:name w:val="cc_1"/>
    <w:basedOn w:val="HyphenationNorSpacing"/>
    <w:next w:val="Ccn"/>
    <w:qFormat/>
    <w:pPr>
      <w:keepNext w:val="true"/>
      <w:spacing w:lineRule="auto" w:line="276" w:before="360" w:after="0"/>
      <w:ind w:left="709" w:hanging="709"/>
    </w:pPr>
    <w:rPr/>
  </w:style>
  <w:style w:type="paragraph" w:styleId="Ccn" w:customStyle="1">
    <w:name w:val="cc_n"/>
    <w:basedOn w:val="HyphenationNorSpacing"/>
    <w:qFormat/>
    <w:pPr>
      <w:keepNext w:val="true"/>
      <w:spacing w:lineRule="auto" w:line="276"/>
      <w:ind w:left="709" w:hanging="0"/>
    </w:pPr>
    <w:rPr/>
  </w:style>
  <w:style w:type="paragraph" w:styleId="Aufzhlung" w:customStyle="1">
    <w:name w:val="Aufzählung"/>
    <w:basedOn w:val="TextkrpermitRz"/>
    <w:qFormat/>
    <w:pPr>
      <w:tabs>
        <w:tab w:val="clear" w:pos="709"/>
        <w:tab w:val="left" w:pos="1276" w:leader="none"/>
      </w:tabs>
      <w:spacing w:before="240" w:after="0"/>
      <w:ind w:left="1276" w:hanging="567"/>
    </w:pPr>
    <w:rPr/>
  </w:style>
  <w:style w:type="paragraph" w:styleId="AufzhlungNummeriert" w:customStyle="1">
    <w:name w:val="Aufzählung-Nummeriert"/>
    <w:basedOn w:val="Aufzhlung"/>
    <w:qFormat/>
    <w:pPr/>
    <w:rPr/>
  </w:style>
  <w:style w:type="paragraph" w:styleId="GegnerischeBeilagenEintrag" w:customStyle="1">
    <w:name w:val="GegnerischeBeilagen_Eintrag"/>
    <w:basedOn w:val="HyphenationNorSpacing"/>
    <w:qFormat/>
    <w:pPr>
      <w:spacing w:lineRule="auto" w:line="276" w:before="240" w:after="0"/>
    </w:pPr>
    <w:rPr/>
  </w:style>
  <w:style w:type="paragraph" w:styleId="GegnerischeBeilagenReferenz" w:customStyle="1">
    <w:name w:val="GegnerischeBeilagen_Referenz"/>
    <w:basedOn w:val="HyphenationNorSpacing"/>
    <w:qFormat/>
    <w:pPr>
      <w:spacing w:lineRule="auto" w:line="276" w:before="240" w:after="0"/>
      <w:jc w:val="right"/>
    </w:pPr>
    <w:rPr>
      <w:u w:val="single"/>
    </w:rPr>
  </w:style>
  <w:style w:type="paragraph" w:styleId="TextkrpermitRz" w:customStyle="1">
    <w:name w:val="Textkörper (mit Rz.)"/>
    <w:next w:val="Header"/>
    <w:qFormat/>
    <w:pPr>
      <w:widowControl/>
      <w:tabs>
        <w:tab w:val="clear" w:pos="708"/>
        <w:tab w:val="left" w:pos="709" w:leader="none"/>
      </w:tabs>
      <w:suppressAutoHyphens w:val="true"/>
      <w:bidi w:val="0"/>
      <w:spacing w:lineRule="auto" w:line="276" w:before="300" w:after="200"/>
      <w:ind w:left="709" w:hanging="709"/>
      <w:jc w:val="left"/>
    </w:pPr>
    <w:rPr>
      <w:rFonts w:ascii="Calibri" w:hAnsi="Calibri" w:eastAsia="Times New Roman" w:cs="font292" w:asciiTheme="minorHAnsi" w:hAnsiTheme="minorHAnsi"/>
      <w:color w:val="auto"/>
      <w:kern w:val="2"/>
      <w:sz w:val="22"/>
      <w:szCs w:val="20"/>
      <w:lang w:val="de-CH" w:eastAsia="en-US" w:bidi="ar-SA"/>
    </w:rPr>
  </w:style>
  <w:style w:type="paragraph" w:styleId="PLPKopftext" w:customStyle="1">
    <w:name w:val="PLP Kopftext"/>
    <w:basedOn w:val="Normal"/>
    <w:next w:val="Normal"/>
    <w:autoRedefine/>
    <w:qFormat/>
    <w:pPr>
      <w:widowControl w:val="false"/>
      <w:suppressAutoHyphens w:val="true"/>
      <w:spacing w:lineRule="auto" w:line="240" w:before="0" w:after="60"/>
      <w:jc w:val="left"/>
    </w:pPr>
    <w:rPr>
      <w:rFonts w:ascii="Arial" w:hAnsi="Arial" w:eastAsia="Times New Roman" w:cs="Arial"/>
      <w:bCs/>
      <w:kern w:val="2"/>
      <w:sz w:val="18"/>
      <w:szCs w:val="20"/>
      <w:lang w:val="it-IT"/>
    </w:rPr>
  </w:style>
  <w:style w:type="paragraph" w:styleId="PGPKopf2" w:customStyle="1">
    <w:name w:val="PGP Kopf2"/>
    <w:basedOn w:val="Normal"/>
    <w:next w:val="Normal"/>
    <w:qFormat/>
    <w:pPr>
      <w:spacing w:lineRule="exact" w:line="240"/>
      <w:jc w:val="center"/>
    </w:pPr>
    <w:rPr>
      <w:rFonts w:ascii="HelveticaNeue Extended" w:hAnsi="HelveticaNeue Extended" w:eastAsia="Times New Roman" w:cs="Times New Roman"/>
      <w:spacing w:val="4"/>
      <w:sz w:val="14"/>
      <w:szCs w:val="20"/>
    </w:rPr>
  </w:style>
  <w:style w:type="paragraph" w:styleId="PLPAnrede" w:customStyle="1">
    <w:name w:val="PLP_Anrede"/>
    <w:basedOn w:val="Normal"/>
    <w:next w:val="Normal"/>
    <w:qFormat/>
    <w:pPr>
      <w:spacing w:lineRule="auto" w:line="240" w:before="480" w:after="240"/>
      <w:jc w:val="left"/>
    </w:pPr>
    <w:rPr>
      <w:rFonts w:eastAsia="Times New Roman" w:cs="Times New Roman"/>
      <w:kern w:val="2"/>
      <w:szCs w:val="20"/>
    </w:rPr>
  </w:style>
  <w:style w:type="paragraph" w:styleId="Adresse" w:customStyle="1">
    <w:name w:val="Adresse"/>
    <w:basedOn w:val="Normal"/>
    <w:qFormat/>
    <w:pPr>
      <w:widowControl w:val="false"/>
      <w:jc w:val="left"/>
    </w:pPr>
    <w:rPr>
      <w:rFonts w:eastAsia="Times New Roman" w:cs="Times New Roman"/>
      <w:kern w:val="2"/>
      <w:szCs w:val="20"/>
    </w:rPr>
  </w:style>
  <w:style w:type="paragraph" w:styleId="Betreff" w:customStyle="1">
    <w:name w:val="Betreff"/>
    <w:basedOn w:val="Normal"/>
    <w:qFormat/>
    <w:pPr>
      <w:widowControl w:val="false"/>
      <w:spacing w:lineRule="auto" w:line="240"/>
      <w:jc w:val="left"/>
    </w:pPr>
    <w:rPr>
      <w:rFonts w:eastAsia="Times New Roman" w:cs="Times New Roman"/>
      <w:b/>
      <w:kern w:val="2"/>
      <w:szCs w:val="20"/>
    </w:rPr>
  </w:style>
  <w:style w:type="paragraph" w:styleId="Title">
    <w:name w:val="Title"/>
    <w:basedOn w:val="Normal"/>
    <w:link w:val="TitleChar"/>
    <w:uiPriority w:val="10"/>
    <w:qFormat/>
    <w:pPr>
      <w:widowControl w:val="false"/>
      <w:spacing w:lineRule="auto" w:line="240" w:before="480" w:after="480"/>
      <w:jc w:val="center"/>
    </w:pPr>
    <w:rPr>
      <w:rFonts w:eastAsia="Times New Roman" w:cs="Times New Roman"/>
      <w:b/>
      <w:smallCaps/>
      <w:spacing w:val="20"/>
      <w:kern w:val="2"/>
      <w:sz w:val="28"/>
      <w:szCs w:val="20"/>
      <w:lang w:val="en-GB"/>
    </w:rPr>
  </w:style>
  <w:style w:type="paragraph" w:styleId="Antrag" w:customStyle="1">
    <w:name w:val="Antrag"/>
    <w:basedOn w:val="TextBody"/>
    <w:qFormat/>
    <w:pPr>
      <w:spacing w:lineRule="auto" w:line="276"/>
    </w:pPr>
    <w:rPr/>
  </w:style>
  <w:style w:type="paragraph" w:styleId="Antrageingerckt" w:customStyle="1">
    <w:name w:val="Antrag eingerückt"/>
    <w:basedOn w:val="Antrag"/>
    <w:qFormat/>
    <w:pPr/>
    <w:rPr/>
  </w:style>
  <w:style w:type="paragraph" w:styleId="Witness" w:customStyle="1">
    <w:name w:val="Witness"/>
    <w:basedOn w:val="Exhibit"/>
    <w:next w:val="TextkrpermitRz"/>
    <w:qFormat/>
    <w:pPr>
      <w:numPr>
        <w:ilvl w:val="0"/>
        <w:numId w:val="0"/>
      </w:numPr>
      <w:tabs>
        <w:tab w:val="clear" w:pos="708"/>
        <w:tab w:val="left" w:pos="1080" w:leader="none"/>
      </w:tabs>
      <w:ind w:left="1080" w:right="1134" w:hanging="360"/>
    </w:pPr>
    <w:rPr/>
  </w:style>
  <w:style w:type="paragraph" w:styleId="Zitat1" w:customStyle="1">
    <w:name w:val="Zitat1"/>
    <w:basedOn w:val="Normal"/>
    <w:next w:val="TextkrpermitRz"/>
    <w:qFormat/>
    <w:pPr>
      <w:spacing w:before="300" w:after="0"/>
      <w:ind w:left="1134" w:right="567" w:hanging="0"/>
    </w:pPr>
    <w:rPr>
      <w:rFonts w:eastAsia="Times New Roman" w:cs="Times New Roman"/>
      <w:i/>
      <w:kern w:val="2"/>
      <w:szCs w:val="20"/>
    </w:rPr>
  </w:style>
  <w:style w:type="paragraph" w:styleId="Party" w:customStyle="1">
    <w:name w:val="Party"/>
    <w:basedOn w:val="Exhibit"/>
    <w:next w:val="TextkrpermitRz"/>
    <w:qFormat/>
    <w:pPr>
      <w:numPr>
        <w:ilvl w:val="0"/>
        <w:numId w:val="0"/>
      </w:numPr>
      <w:tabs>
        <w:tab w:val="clear" w:pos="708"/>
        <w:tab w:val="left" w:pos="1440" w:leader="none"/>
      </w:tabs>
      <w:ind w:left="1440" w:right="1134" w:hanging="360"/>
    </w:pPr>
    <w:rPr/>
  </w:style>
  <w:style w:type="paragraph" w:styleId="Expert" w:customStyle="1">
    <w:name w:val="Expert"/>
    <w:basedOn w:val="Exhibit"/>
    <w:next w:val="TextkrpermitRz"/>
    <w:qFormat/>
    <w:pPr>
      <w:numPr>
        <w:ilvl w:val="0"/>
        <w:numId w:val="0"/>
      </w:numPr>
      <w:tabs>
        <w:tab w:val="clear" w:pos="708"/>
        <w:tab w:val="left" w:pos="720" w:leader="none"/>
      </w:tabs>
      <w:ind w:left="720" w:right="1134" w:hanging="360"/>
    </w:pPr>
    <w:rPr/>
  </w:style>
  <w:style w:type="paragraph" w:styleId="Evidence" w:customStyle="1">
    <w:name w:val="Evidence"/>
    <w:basedOn w:val="Exhibit"/>
    <w:next w:val="Exhibit"/>
    <w:qFormat/>
    <w:pPr>
      <w:numPr>
        <w:ilvl w:val="0"/>
        <w:numId w:val="0"/>
      </w:numPr>
      <w:ind w:left="720" w:right="1134" w:hanging="720"/>
    </w:pPr>
    <w:rPr/>
  </w:style>
  <w:style w:type="paragraph" w:styleId="Augenschein" w:customStyle="1">
    <w:name w:val="Augenschein"/>
    <w:basedOn w:val="Exhibit"/>
    <w:next w:val="TextkrpermitRz"/>
    <w:qFormat/>
    <w:pPr>
      <w:numPr>
        <w:ilvl w:val="0"/>
        <w:numId w:val="0"/>
      </w:numPr>
      <w:tabs>
        <w:tab w:val="clear" w:pos="708"/>
        <w:tab w:val="left" w:pos="1800" w:leader="none"/>
      </w:tabs>
      <w:ind w:left="1800" w:right="1134" w:hanging="360"/>
    </w:pPr>
    <w:rPr/>
  </w:style>
  <w:style w:type="paragraph" w:styleId="Expertise" w:customStyle="1">
    <w:name w:val="Expertise"/>
    <w:basedOn w:val="Exhibit"/>
    <w:next w:val="TextkrpermitRz"/>
    <w:qFormat/>
    <w:pPr>
      <w:numPr>
        <w:ilvl w:val="0"/>
        <w:numId w:val="0"/>
      </w:numPr>
      <w:tabs>
        <w:tab w:val="clear" w:pos="708"/>
        <w:tab w:val="left" w:pos="2160" w:leader="none"/>
      </w:tabs>
      <w:ind w:left="2160" w:right="1134" w:hanging="360"/>
    </w:pPr>
    <w:rPr/>
  </w:style>
  <w:style w:type="paragraph" w:styleId="Edition" w:customStyle="1">
    <w:name w:val="Edition"/>
    <w:basedOn w:val="Exhibit"/>
    <w:next w:val="TextkrpermitRz"/>
    <w:qFormat/>
    <w:pPr>
      <w:numPr>
        <w:ilvl w:val="0"/>
        <w:numId w:val="0"/>
      </w:numPr>
      <w:tabs>
        <w:tab w:val="clear" w:pos="708"/>
        <w:tab w:val="left" w:pos="2520" w:leader="none"/>
      </w:tabs>
      <w:ind w:left="2520" w:right="1134" w:hanging="360"/>
    </w:pPr>
    <w:rPr/>
  </w:style>
  <w:style w:type="paragraph" w:styleId="Pfad" w:customStyle="1">
    <w:name w:val="Pfad"/>
    <w:basedOn w:val="Normal"/>
    <w:qFormat/>
    <w:pPr>
      <w:spacing w:lineRule="auto" w:line="240"/>
      <w:jc w:val="left"/>
    </w:pPr>
    <w:rPr>
      <w:rFonts w:eastAsia="Times New Roman" w:cs="Times New Roman"/>
      <w:sz w:val="12"/>
      <w:szCs w:val="22"/>
      <w:lang w:eastAsia="de-CH"/>
    </w:rPr>
  </w:style>
  <w:style w:type="paragraph" w:styleId="Titelreferenz" w:customStyle="1">
    <w:name w:val="Titelreferenz"/>
    <w:basedOn w:val="Normal"/>
    <w:qFormat/>
    <w:pPr>
      <w:spacing w:lineRule="auto" w:line="240"/>
      <w:jc w:val="left"/>
    </w:pPr>
    <w:rPr>
      <w:rFonts w:ascii="Arial" w:hAnsi="Arial" w:eastAsia="" w:cs="" w:cstheme="minorBidi" w:eastAsiaTheme="minorEastAsia"/>
      <w:sz w:val="18"/>
      <w:szCs w:val="22"/>
      <w:lang w:eastAsia="de-CH"/>
    </w:rPr>
  </w:style>
  <w:style w:type="paragraph" w:styleId="CPListe" w:customStyle="1">
    <w:name w:val="CP-Liste"/>
    <w:basedOn w:val="ListParagraph"/>
    <w:qFormat/>
    <w:pPr>
      <w:spacing w:lineRule="auto" w:line="240" w:before="60" w:after="200"/>
      <w:ind w:left="851" w:hanging="0"/>
      <w:contextualSpacing/>
    </w:pPr>
    <w:rPr>
      <w:rFonts w:ascii="Calibri" w:hAnsi="Calibri" w:eastAsia="Times New Roman" w:cs="Calibri"/>
      <w:lang w:val="de-DE" w:eastAsia="de-DE"/>
    </w:rPr>
  </w:style>
  <w:style w:type="paragraph" w:styleId="DokTitel" w:customStyle="1">
    <w:name w:val="Dok-Titel"/>
    <w:basedOn w:val="Normal"/>
    <w:link w:val="DokTitelZchn"/>
    <w:qFormat/>
    <w:pPr>
      <w:spacing w:lineRule="auto" w:line="240" w:before="120" w:after="120"/>
      <w:contextualSpacing/>
      <w:jc w:val="left"/>
    </w:pPr>
    <w:rPr>
      <w:rFonts w:ascii="Calibri" w:hAnsi="Calibri" w:eastAsia="Times New Roman" w:cs="Calibri"/>
      <w:b/>
      <w:bCs/>
      <w:sz w:val="44"/>
      <w:szCs w:val="28"/>
      <w:lang w:val="en-US" w:eastAsia="de-DE"/>
    </w:rPr>
  </w:style>
  <w:style w:type="paragraph" w:styleId="Subtitle">
    <w:name w:val="Subtitle"/>
    <w:basedOn w:val="Normal"/>
    <w:next w:val="Normal"/>
    <w:link w:val="SubtitleChar"/>
    <w:uiPriority w:val="11"/>
    <w:qFormat/>
    <w:pPr>
      <w:spacing w:lineRule="auto" w:line="240" w:before="60" w:after="60"/>
      <w:jc w:val="left"/>
    </w:pPr>
    <w:rPr>
      <w:rFonts w:ascii="Calibri" w:hAnsi="Calibri" w:eastAsia="" w:cs="" w:cstheme="majorBidi" w:eastAsiaTheme="majorEastAsia"/>
      <w:i/>
      <w:iCs/>
      <w:spacing w:val="15"/>
      <w:lang w:val="de-DE" w:eastAsia="de-DE"/>
    </w:rPr>
  </w:style>
  <w:style w:type="paragraph" w:styleId="Formatvorlage3" w:customStyle="1">
    <w:name w:val="Formatvorlage3"/>
    <w:basedOn w:val="Heading2"/>
    <w:next w:val="Heading2"/>
    <w:uiPriority w:val="99"/>
    <w:qFormat/>
    <w:pPr>
      <w:keepLines/>
      <w:numPr>
        <w:ilvl w:val="0"/>
        <w:numId w:val="0"/>
      </w:numPr>
      <w:tabs>
        <w:tab w:val="clear" w:pos="708"/>
        <w:tab w:val="left" w:pos="709" w:leader="none"/>
      </w:tabs>
      <w:spacing w:lineRule="auto" w:line="312" w:before="480" w:after="120"/>
      <w:ind w:left="1554" w:hanging="420"/>
    </w:pPr>
    <w:rPr>
      <w:rFonts w:ascii="Calibri" w:hAnsi="Calibri" w:cs="Times New Roman"/>
      <w:bCs/>
      <w:iCs/>
      <w:kern w:val="0"/>
      <w:sz w:val="28"/>
      <w:szCs w:val="28"/>
      <w:lang w:val="en-GB" w:eastAsia="de-DE"/>
    </w:rPr>
  </w:style>
  <w:style w:type="paragraph" w:styleId="Formatvorlage4" w:customStyle="1">
    <w:name w:val="Formatvorlage4"/>
    <w:basedOn w:val="Heading2"/>
    <w:next w:val="Heading3"/>
    <w:uiPriority w:val="99"/>
    <w:qFormat/>
    <w:pPr>
      <w:keepLines/>
      <w:numPr>
        <w:ilvl w:val="0"/>
        <w:numId w:val="0"/>
      </w:numPr>
      <w:spacing w:lineRule="auto" w:line="312" w:before="0" w:after="120"/>
      <w:ind w:left="1713" w:hanging="720"/>
    </w:pPr>
    <w:rPr>
      <w:rFonts w:ascii="Calibri" w:hAnsi="Calibri" w:cs="Times New Roman"/>
      <w:bCs/>
      <w:i/>
      <w:iCs/>
      <w:kern w:val="0"/>
      <w:sz w:val="28"/>
      <w:szCs w:val="24"/>
      <w:lang w:val="en-GB" w:eastAsia="de-DE"/>
    </w:rPr>
  </w:style>
  <w:style w:type="paragraph" w:styleId="IndexHeading">
    <w:name w:val="Index Heading"/>
    <w:basedOn w:val="Heading"/>
    <w:pPr/>
    <w:rPr/>
  </w:style>
  <w:style w:type="paragraph" w:styleId="ContentsHeading">
    <w:name w:val="TOC Heading"/>
    <w:basedOn w:val="Heading1"/>
    <w:next w:val="Normal"/>
    <w:uiPriority w:val="39"/>
    <w:unhideWhenUsed/>
    <w:qFormat/>
    <w:pPr>
      <w:numPr>
        <w:ilvl w:val="0"/>
        <w:numId w:val="0"/>
      </w:numPr>
      <w:spacing w:lineRule="auto" w:line="276" w:before="0" w:after="360"/>
      <w:outlineLvl w:val="9"/>
    </w:pPr>
    <w:rPr>
      <w:rFonts w:ascii="Calibri" w:hAnsi="Calibri" w:eastAsia="" w:cs="" w:cstheme="majorBidi" w:eastAsiaTheme="majorEastAsia"/>
      <w:bCs/>
      <w:caps w:val="false"/>
      <w:smallCaps w:val="false"/>
      <w:kern w:val="0"/>
      <w:sz w:val="32"/>
      <w:szCs w:val="28"/>
      <w:lang w:val="de-DE"/>
    </w:rPr>
  </w:style>
  <w:style w:type="paragraph" w:styleId="InhaltsVZAufzhlung" w:customStyle="1">
    <w:name w:val="InhaltsVZ - Aufzählung"/>
    <w:basedOn w:val="Contents1"/>
    <w:qFormat/>
    <w:pPr>
      <w:keepNext w:val="false"/>
      <w:tabs>
        <w:tab w:val="clear" w:pos="9356"/>
        <w:tab w:val="left" w:pos="482" w:leader="none"/>
        <w:tab w:val="right" w:pos="9062" w:leader="dot"/>
      </w:tabs>
      <w:spacing w:lineRule="auto" w:line="240"/>
      <w:ind w:left="1134" w:right="0" w:hanging="1134"/>
    </w:pPr>
    <w:rPr>
      <w:rFonts w:ascii="Calibri" w:hAnsi="Calibri" w:cs="Times New Roman" w:asciiTheme="minorHAnsi" w:hAnsiTheme="minorHAnsi"/>
      <w:caps/>
      <w:sz w:val="22"/>
      <w:lang w:val="de-DE" w:eastAsia="de-DE"/>
    </w:rPr>
  </w:style>
  <w:style w:type="paragraph" w:styleId="InhaltsVZTitel" w:customStyle="1">
    <w:name w:val="InhaltsVZ-Titel"/>
    <w:basedOn w:val="Normal"/>
    <w:link w:val="InhaltsVZTitelZchn"/>
    <w:qFormat/>
    <w:pPr>
      <w:spacing w:lineRule="auto" w:line="240" w:before="480" w:after="360"/>
      <w:jc w:val="left"/>
    </w:pPr>
    <w:rPr>
      <w:rFonts w:ascii="Calibri" w:hAnsi="Calibri" w:eastAsia="Times New Roman" w:cs="Times New Roman"/>
      <w:b/>
      <w:caps/>
      <w:sz w:val="28"/>
      <w:lang w:val="de-DE" w:eastAsia="de-DE"/>
    </w:rPr>
  </w:style>
  <w:style w:type="paragraph" w:styleId="ListeoAufzhlzchn" w:customStyle="1">
    <w:name w:val="Liste o. Aufzähl.zchn"/>
    <w:basedOn w:val="ListParagraph"/>
    <w:qFormat/>
    <w:pPr>
      <w:spacing w:lineRule="auto" w:line="312" w:before="60" w:after="200"/>
      <w:ind w:left="851" w:hanging="0"/>
      <w:contextualSpacing/>
    </w:pPr>
    <w:rPr>
      <w:rFonts w:ascii="Calibri" w:hAnsi="Calibri" w:eastAsia="Times New Roman" w:cs="Calibri"/>
      <w:sz w:val="22"/>
      <w:lang w:val="de-DE" w:eastAsia="de-DE"/>
    </w:rPr>
  </w:style>
  <w:style w:type="paragraph" w:styleId="TabelleText1" w:customStyle="1">
    <w:name w:val="Tabelle-Text1"/>
    <w:basedOn w:val="Normal"/>
    <w:qFormat/>
    <w:pPr>
      <w:spacing w:lineRule="auto" w:line="240" w:before="60" w:after="60"/>
      <w:jc w:val="left"/>
    </w:pPr>
    <w:rPr>
      <w:rFonts w:ascii="Calibri" w:hAnsi="Calibri" w:eastAsia="Times New Roman" w:cs="Times New Roman"/>
      <w:sz w:val="20"/>
      <w:szCs w:val="20"/>
      <w:lang w:val="de-DE" w:eastAsia="de-DE"/>
    </w:rPr>
  </w:style>
  <w:style w:type="paragraph" w:styleId="AnlagenText11" w:customStyle="1">
    <w:name w:val="Anlagen-Text11"/>
    <w:basedOn w:val="Normal"/>
    <w:qFormat/>
    <w:pPr>
      <w:numPr>
        <w:ilvl w:val="0"/>
        <w:numId w:val="3"/>
      </w:numPr>
      <w:spacing w:lineRule="auto" w:line="264" w:before="60" w:after="60"/>
    </w:pPr>
    <w:rPr>
      <w:rFonts w:ascii="Calibri" w:hAnsi="Calibri" w:eastAsia="Times New Roman" w:cs="Arial" w:asciiTheme="minorHAnsi" w:hAnsiTheme="minorHAnsi"/>
      <w:sz w:val="20"/>
      <w:szCs w:val="18"/>
      <w:lang w:val="de-DE" w:eastAsia="de-DE"/>
    </w:rPr>
  </w:style>
  <w:style w:type="paragraph" w:styleId="DocumentMap">
    <w:name w:val="Document Map"/>
    <w:basedOn w:val="Normal"/>
    <w:link w:val="DocumentMapChar"/>
    <w:uiPriority w:val="99"/>
    <w:semiHidden/>
    <w:unhideWhenUsed/>
    <w:qFormat/>
    <w:pPr>
      <w:spacing w:lineRule="auto" w:line="240" w:before="60" w:after="60"/>
      <w:jc w:val="left"/>
    </w:pPr>
    <w:rPr>
      <w:rFonts w:ascii="Tahoma" w:hAnsi="Tahoma" w:eastAsia="Times New Roman" w:cs="Tahoma"/>
      <w:sz w:val="16"/>
      <w:szCs w:val="16"/>
      <w:lang w:val="de-DE" w:eastAsia="de-DE"/>
    </w:rPr>
  </w:style>
  <w:style w:type="paragraph" w:styleId="KostenZahl11" w:customStyle="1">
    <w:name w:val="Kosten-Zahl11"/>
    <w:basedOn w:val="Normal"/>
    <w:qFormat/>
    <w:pPr>
      <w:spacing w:lineRule="auto" w:line="240" w:before="60" w:after="120"/>
      <w:jc w:val="center"/>
    </w:pPr>
    <w:rPr>
      <w:rFonts w:ascii="Calibri" w:hAnsi="Calibri" w:eastAsia="Times New Roman" w:cs="Times New Roman" w:asciiTheme="minorHAnsi" w:hAnsiTheme="minorHAnsi"/>
      <w:b/>
      <w:sz w:val="36"/>
      <w:lang w:val="de-DE" w:eastAsia="de-DE"/>
    </w:rPr>
  </w:style>
  <w:style w:type="paragraph" w:styleId="HillInternational20111011" w:customStyle="1">
    <w:name w:val="Hill International_2011-10-11"/>
    <w:basedOn w:val="DokTitel"/>
    <w:link w:val="HillInternational20111011Zchn"/>
    <w:qFormat/>
    <w:pPr/>
    <w:rPr>
      <w:lang w:val="de-DE"/>
    </w:rPr>
  </w:style>
  <w:style w:type="paragraph" w:styleId="RandNrText11" w:customStyle="1">
    <w:name w:val="RandNr-Text1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Anlagen" w:customStyle="1">
    <w:name w:val="Anlagen"/>
    <w:basedOn w:val="AnlagenText11"/>
    <w:link w:val="AnlagenZchn"/>
    <w:qFormat/>
    <w:pPr>
      <w:numPr>
        <w:ilvl w:val="0"/>
        <w:numId w:val="4"/>
      </w:numPr>
    </w:pPr>
    <w:rPr>
      <w:sz w:val="24"/>
      <w:lang w:val="en-GB"/>
    </w:rPr>
  </w:style>
  <w:style w:type="paragraph" w:styleId="Bericht" w:customStyle="1">
    <w:name w:val="Bericht"/>
    <w:basedOn w:val="Normal"/>
    <w:qFormat/>
    <w:pPr>
      <w:spacing w:lineRule="auto" w:line="240" w:before="60" w:after="60"/>
      <w:ind w:right="1728" w:hanging="0"/>
      <w:jc w:val="left"/>
    </w:pPr>
    <w:rPr>
      <w:rFonts w:ascii="Arial" w:hAnsi="Arial" w:eastAsia="Times New Roman" w:cs="Arial"/>
      <w:sz w:val="22"/>
      <w:szCs w:val="22"/>
      <w:lang w:val="fr-FR"/>
    </w:rPr>
  </w:style>
  <w:style w:type="paragraph" w:styleId="RandNrText1" w:customStyle="1">
    <w:name w:val="RandNr-Text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2" w:customStyle="1">
    <w:name w:val="RandNr-Text2"/>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21" w:customStyle="1">
    <w:name w:val="RandNr-Text2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3" w:customStyle="1">
    <w:name w:val="RandNr-Text3"/>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Aufzhlung1" w:customStyle="1">
    <w:name w:val="Aufzählung1"/>
    <w:basedOn w:val="ListParagraph"/>
    <w:qFormat/>
    <w:pPr>
      <w:spacing w:lineRule="auto" w:line="240" w:before="60" w:after="200"/>
      <w:ind w:left="1418" w:hanging="567"/>
      <w:contextualSpacing/>
    </w:pPr>
    <w:rPr>
      <w:rFonts w:ascii="Calibri" w:hAnsi="Calibri" w:eastAsia="Times New Roman" w:cs="Calibri"/>
      <w:lang w:val="en-US" w:eastAsia="de-DE"/>
    </w:rPr>
  </w:style>
  <w:style w:type="paragraph" w:styleId="RandNrText31" w:customStyle="1">
    <w:name w:val="RandNr-Text3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Aufzhlung11" w:customStyle="1">
    <w:name w:val="Aufzählung11"/>
    <w:basedOn w:val="ListParagraph"/>
    <w:qFormat/>
    <w:pPr>
      <w:spacing w:lineRule="auto" w:line="240" w:before="60" w:after="200"/>
      <w:ind w:left="1571" w:hanging="360"/>
      <w:contextualSpacing/>
    </w:pPr>
    <w:rPr>
      <w:rFonts w:ascii="Calibri" w:hAnsi="Calibri" w:eastAsia="Times New Roman" w:cs="Calibri"/>
      <w:lang w:val="en-US" w:eastAsia="de-DE"/>
    </w:rPr>
  </w:style>
  <w:style w:type="paragraph" w:styleId="RandNrText4" w:customStyle="1">
    <w:name w:val="RandNr-Text4"/>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41" w:customStyle="1">
    <w:name w:val="RandNr-Text4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 w:customStyle="1">
    <w:name w:val="RandNr-Text5"/>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1" w:customStyle="1">
    <w:name w:val="RandNr-Text5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2" w:customStyle="1">
    <w:name w:val="RandNr-Text52"/>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6" w:customStyle="1">
    <w:name w:val="RandNr-Text6"/>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61" w:customStyle="1">
    <w:name w:val="RandNr-Text6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7" w:customStyle="1">
    <w:name w:val="RandNr-Text7"/>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21" w:customStyle="1">
    <w:name w:val="RandNr-Text52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8" w:customStyle="1">
    <w:name w:val="RandNr-Text8"/>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22" w:customStyle="1">
    <w:name w:val="RandNr-Text522"/>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9" w:customStyle="1">
    <w:name w:val="RandNr-Text9"/>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411" w:customStyle="1">
    <w:name w:val="RandNr-Text41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Quote">
    <w:name w:val="Quote"/>
    <w:basedOn w:val="Normal"/>
    <w:next w:val="Normal"/>
    <w:link w:val="QuoteChar"/>
    <w:uiPriority w:val="29"/>
    <w:qFormat/>
    <w:pPr>
      <w:spacing w:lineRule="auto" w:line="240"/>
      <w:ind w:left="1134" w:right="567" w:hanging="0"/>
      <w:jc w:val="left"/>
    </w:pPr>
    <w:rPr>
      <w:rFonts w:ascii="Calibri" w:hAnsi="Calibri" w:eastAsia="Times New Roman" w:cs="Times New Roman"/>
      <w:i/>
      <w:iCs/>
      <w:color w:val="000000" w:themeColor="text1"/>
      <w:sz w:val="22"/>
      <w:lang w:val="en-US"/>
    </w:rPr>
  </w:style>
  <w:style w:type="paragraph" w:styleId="Formatvorlage1" w:customStyle="1">
    <w:name w:val="Formatvorlage1"/>
    <w:basedOn w:val="Heading1"/>
    <w:uiPriority w:val="99"/>
    <w:qFormat/>
    <w:pPr>
      <w:numPr>
        <w:ilvl w:val="0"/>
        <w:numId w:val="0"/>
      </w:numPr>
      <w:spacing w:lineRule="auto" w:line="276"/>
    </w:pPr>
    <w:rPr>
      <w:rFonts w:ascii="Cambria" w:hAnsi="Cambria" w:cs="Times New Roman"/>
      <w:bCs/>
      <w:caps w:val="false"/>
      <w:smallCaps w:val="false"/>
      <w:color w:val="365F91"/>
      <w:kern w:val="0"/>
      <w:sz w:val="32"/>
      <w:szCs w:val="28"/>
      <w:lang w:val="de-DE"/>
    </w:rPr>
  </w:style>
  <w:style w:type="paragraph" w:styleId="Formatvorlage2" w:customStyle="1">
    <w:name w:val="Formatvorlage2"/>
    <w:basedOn w:val="Formatvorlage1"/>
    <w:uiPriority w:val="99"/>
    <w:qFormat/>
    <w:pPr/>
    <w:rPr>
      <w:rFonts w:ascii="Calibri" w:hAnsi="Calibri"/>
      <w:u w:val="single"/>
    </w:rPr>
  </w:style>
  <w:style w:type="paragraph" w:styleId="NormalWeb">
    <w:name w:val="Normal (Web)"/>
    <w:basedOn w:val="Normal"/>
    <w:uiPriority w:val="99"/>
    <w:qFormat/>
    <w:pPr>
      <w:spacing w:lineRule="auto" w:line="240" w:beforeAutospacing="1" w:afterAutospacing="1"/>
      <w:jc w:val="left"/>
    </w:pPr>
    <w:rPr>
      <w:rFonts w:eastAsia="Times New Roman" w:cs="Times New Roman"/>
      <w:lang w:val="de-DE" w:eastAsia="de-DE"/>
    </w:rPr>
  </w:style>
  <w:style w:type="paragraph" w:styleId="Formatvorlage5" w:customStyle="1">
    <w:name w:val="Formatvorlage5"/>
    <w:basedOn w:val="Heading3"/>
    <w:uiPriority w:val="99"/>
    <w:qFormat/>
    <w:pPr>
      <w:keepLines/>
      <w:numPr>
        <w:ilvl w:val="0"/>
        <w:numId w:val="0"/>
      </w:numPr>
      <w:spacing w:lineRule="auto" w:line="276" w:before="200" w:after="120"/>
    </w:pPr>
    <w:rPr>
      <w:rFonts w:ascii="Cambria" w:hAnsi="Cambria" w:cs="Times New Roman"/>
      <w:bCs/>
      <w:i w:val="false"/>
      <w:color w:val="4F81BD"/>
      <w:kern w:val="0"/>
      <w:sz w:val="22"/>
      <w:szCs w:val="22"/>
      <w:lang w:val="en-GB"/>
    </w:rPr>
  </w:style>
  <w:style w:type="paragraph" w:styleId="Formatvorlage6" w:customStyle="1">
    <w:name w:val="Formatvorlage6"/>
    <w:basedOn w:val="Formatvorlage5"/>
    <w:uiPriority w:val="99"/>
    <w:qFormat/>
    <w:pPr/>
    <w:rPr/>
  </w:style>
  <w:style w:type="paragraph" w:styleId="Formatvorlage7" w:customStyle="1">
    <w:name w:val="Formatvorlage7"/>
    <w:basedOn w:val="Heading3"/>
    <w:uiPriority w:val="99"/>
    <w:qFormat/>
    <w:pPr>
      <w:keepLines/>
      <w:numPr>
        <w:ilvl w:val="0"/>
        <w:numId w:val="0"/>
      </w:numPr>
      <w:spacing w:lineRule="auto" w:line="276" w:before="200" w:after="120"/>
    </w:pPr>
    <w:rPr>
      <w:rFonts w:ascii="Calibri" w:hAnsi="Calibri" w:cs="Times New Roman"/>
      <w:bCs/>
      <w:i w:val="false"/>
      <w:color w:val="4F81BD"/>
      <w:kern w:val="0"/>
      <w:szCs w:val="22"/>
      <w:u w:val="single"/>
      <w:lang w:val="en-GB"/>
    </w:rPr>
  </w:style>
  <w:style w:type="paragraph" w:styleId="AbsatzStellungnahme" w:customStyle="1">
    <w:name w:val="Absatz Stellungnahme"/>
    <w:basedOn w:val="Normal"/>
    <w:link w:val="AbsatzStellungnahmeZchn"/>
    <w:uiPriority w:val="99"/>
    <w:qFormat/>
    <w:pPr>
      <w:spacing w:lineRule="auto" w:line="312" w:before="120" w:after="120"/>
    </w:pPr>
    <w:rPr>
      <w:rFonts w:ascii="Century Gothic" w:hAnsi="Century Gothic" w:eastAsia="Times New Roman" w:cs="Times New Roman"/>
      <w:sz w:val="20"/>
      <w:lang w:val="de-DE" w:eastAsia="de-DE"/>
    </w:rPr>
  </w:style>
  <w:style w:type="paragraph" w:styleId="AbsatzmitNr" w:customStyle="1">
    <w:name w:val="Absatz mit Nr"/>
    <w:basedOn w:val="AbsatzStellungnahme"/>
    <w:link w:val="AbsatzmitNrZchn"/>
    <w:qFormat/>
    <w:pPr/>
    <w:rPr>
      <w:rFonts w:ascii="Calibri" w:hAnsi="Calibri" w:cs="Calibri"/>
    </w:rPr>
  </w:style>
  <w:style w:type="paragraph" w:styleId="Absatzeingerckt" w:customStyle="1">
    <w:name w:val="Absatz eingerückt"/>
    <w:basedOn w:val="AbsatzStellungnahme"/>
    <w:link w:val="AbsatzeingercktZchn"/>
    <w:qFormat/>
    <w:pPr>
      <w:tabs>
        <w:tab w:val="clear" w:pos="708"/>
        <w:tab w:val="left" w:pos="1494" w:leader="none"/>
      </w:tabs>
      <w:ind w:left="1494" w:hanging="360"/>
    </w:pPr>
    <w:rPr>
      <w:rFonts w:ascii="Calibri" w:hAnsi="Calibri" w:cs="Calibri"/>
      <w:sz w:val="22"/>
      <w:szCs w:val="22"/>
      <w:lang w:val="en-US"/>
    </w:rPr>
  </w:style>
  <w:style w:type="paragraph" w:styleId="BerschriftChronologie" w:customStyle="1">
    <w:name w:val="Überschrift Chronologie"/>
    <w:basedOn w:val="RandNrText"/>
    <w:link w:val="BerschriftChronologieChar"/>
    <w:qFormat/>
    <w:pPr>
      <w:numPr>
        <w:ilvl w:val="0"/>
        <w:numId w:val="0"/>
      </w:numPr>
      <w:ind w:left="851" w:hanging="0"/>
    </w:pPr>
    <w:rPr>
      <w:b/>
      <w:lang w:val="de-DE"/>
    </w:rPr>
  </w:style>
  <w:style w:type="paragraph" w:styleId="AnmerkungenHill" w:customStyle="1">
    <w:name w:val="Anmerkungen Hill"/>
    <w:basedOn w:val="RandNrText"/>
    <w:link w:val="AnmerkungenHillChar"/>
    <w:qFormat/>
    <w:pPr>
      <w:numPr>
        <w:ilvl w:val="0"/>
        <w:numId w:val="0"/>
      </w:numPr>
      <w:tabs>
        <w:tab w:val="clear" w:pos="851"/>
        <w:tab w:val="left" w:pos="1984" w:leader="none"/>
      </w:tabs>
      <w:ind w:left="1701" w:hanging="1701"/>
    </w:pPr>
    <w:rPr>
      <w:i/>
      <w:lang w:val="de-DE"/>
    </w:rPr>
  </w:style>
  <w:style w:type="paragraph" w:styleId="Annotationtext">
    <w:name w:val="annotation text"/>
    <w:basedOn w:val="Normal"/>
    <w:link w:val="CommentTextChar"/>
    <w:uiPriority w:val="99"/>
    <w:unhideWhenUsed/>
    <w:qFormat/>
    <w:pPr>
      <w:spacing w:lineRule="auto" w:line="240" w:before="60" w:after="60"/>
      <w:jc w:val="left"/>
    </w:pPr>
    <w:rPr>
      <w:rFonts w:ascii="Calibri" w:hAnsi="Calibri" w:eastAsia="Times New Roman" w:cs="Times New Roman"/>
      <w:sz w:val="20"/>
      <w:szCs w:val="20"/>
      <w:lang w:val="de-DE" w:eastAsia="de-DE"/>
    </w:rPr>
  </w:style>
  <w:style w:type="paragraph" w:styleId="Annotationsubject">
    <w:name w:val="annotation subject"/>
    <w:basedOn w:val="Annotationtext"/>
    <w:next w:val="Annotationtext"/>
    <w:link w:val="CommentSubjectChar"/>
    <w:uiPriority w:val="99"/>
    <w:semiHidden/>
    <w:unhideWhenUsed/>
    <w:qFormat/>
    <w:pPr>
      <w:widowControl w:val="false"/>
      <w:spacing w:before="0" w:after="0"/>
    </w:pPr>
    <w:rPr>
      <w:rFonts w:ascii="Times New Roman" w:hAnsi="Times New Roman"/>
      <w:b/>
      <w:bCs/>
      <w:kern w:val="2"/>
      <w:lang w:val="de-CH" w:eastAsia="en-US"/>
    </w:rPr>
  </w:style>
  <w:style w:type="paragraph" w:styleId="DatumReferenz" w:customStyle="1">
    <w:name w:val="DatumReferenz"/>
    <w:basedOn w:val="Pfad"/>
    <w:qFormat/>
    <w:pPr>
      <w:widowControl w:val="false"/>
    </w:pPr>
    <w:rPr>
      <w:kern w:val="2"/>
      <w:szCs w:val="20"/>
      <w:lang w:eastAsia="en-US"/>
    </w:rPr>
  </w:style>
  <w:style w:type="paragraph" w:styleId="Txtnum123" w:customStyle="1">
    <w:name w:val="Txt_num_1_2_3"/>
    <w:basedOn w:val="HyphenationAndSpacing"/>
    <w:next w:val="Normal"/>
    <w:qFormat/>
    <w:pPr>
      <w:keepNext w:val="true"/>
      <w:numPr>
        <w:ilvl w:val="0"/>
        <w:numId w:val="5"/>
      </w:numPr>
      <w:spacing w:lineRule="auto" w:line="276" w:before="480" w:after="0"/>
      <w:jc w:val="left"/>
      <w:outlineLvl w:val="2"/>
    </w:pPr>
    <w:rPr>
      <w:b/>
    </w:rPr>
  </w:style>
  <w:style w:type="paragraph" w:styleId="Txtnum111213" w:customStyle="1">
    <w:name w:val="Txt_num_11_12_13"/>
    <w:basedOn w:val="HyphenationAndSpacing"/>
    <w:qFormat/>
    <w:pPr>
      <w:numPr>
        <w:ilvl w:val="1"/>
        <w:numId w:val="5"/>
      </w:numPr>
      <w:spacing w:lineRule="auto" w:line="276"/>
    </w:pPr>
    <w:rPr/>
  </w:style>
  <w:style w:type="paragraph" w:styleId="Txtnum111112113" w:customStyle="1">
    <w:name w:val="Txt_num_111_112_113"/>
    <w:basedOn w:val="HyphenationAndSpacing"/>
    <w:qFormat/>
    <w:pPr>
      <w:numPr>
        <w:ilvl w:val="2"/>
        <w:numId w:val="5"/>
      </w:numPr>
      <w:spacing w:lineRule="auto" w:line="276"/>
    </w:pPr>
    <w:rPr/>
  </w:style>
  <w:style w:type="paragraph" w:styleId="Zwischenberschrift" w:customStyle="1">
    <w:name w:val="Zwischenüberschrift"/>
    <w:basedOn w:val="RandNrText"/>
    <w:link w:val="ZwischenberschriftChar"/>
    <w:qFormat/>
    <w:pPr>
      <w:numPr>
        <w:ilvl w:val="0"/>
        <w:numId w:val="0"/>
      </w:numPr>
      <w:ind w:left="851" w:hanging="0"/>
    </w:pPr>
    <w:rPr>
      <w:b/>
      <w:u w:val="single"/>
    </w:rPr>
  </w:style>
  <w:style w:type="paragraph" w:styleId="IHeading11" w:customStyle="1">
    <w:name w:val="I_______Heading1"/>
    <w:basedOn w:val="HyphenationAndSpacing"/>
    <w:next w:val="ParaText"/>
    <w:qFormat/>
    <w:pPr>
      <w:keepNext w:val="true"/>
      <w:tabs>
        <w:tab w:val="clear" w:pos="708"/>
        <w:tab w:val="left" w:pos="709" w:leader="none"/>
      </w:tabs>
      <w:spacing w:lineRule="auto" w:line="276" w:before="480" w:after="0"/>
      <w:ind w:left="709" w:hanging="709"/>
      <w:jc w:val="left"/>
      <w:outlineLvl w:val="0"/>
    </w:pPr>
    <w:rPr>
      <w:b/>
      <w:caps/>
      <w:sz w:val="28"/>
    </w:rPr>
  </w:style>
  <w:style w:type="paragraph" w:styleId="ListBullet1">
    <w:name w:val="List Bullet"/>
    <w:basedOn w:val="Normal"/>
    <w:uiPriority w:val="99"/>
    <w:unhideWhenUsed/>
    <w:qFormat/>
    <w:pPr>
      <w:numPr>
        <w:ilvl w:val="0"/>
        <w:numId w:val="6"/>
      </w:numPr>
      <w:spacing w:lineRule="auto" w:line="276" w:before="0" w:after="0"/>
      <w:contextualSpacing/>
    </w:pPr>
    <w:rPr/>
  </w:style>
  <w:style w:type="paragraph" w:styleId="Titlemediumwithoutnum" w:customStyle="1">
    <w:name w:val="Title_medium_without_num"/>
    <w:basedOn w:val="HyphenationAndSpacing"/>
    <w:next w:val="Text"/>
    <w:qFormat/>
    <w:pPr>
      <w:keepNext w:val="true"/>
      <w:spacing w:before="480" w:after="0"/>
      <w:jc w:val="left"/>
    </w:pPr>
    <w:rPr>
      <w:b/>
      <w:sz w:val="26"/>
    </w:rPr>
  </w:style>
  <w:style w:type="paragraph" w:styleId="Subtitleindexofexhibits" w:customStyle="1">
    <w:name w:val="Subtitle_index_of_exhibits"/>
    <w:basedOn w:val="HyphenationAndSpacing"/>
    <w:next w:val="Text"/>
    <w:qFormat/>
    <w:pPr>
      <w:keepNext w:val="true"/>
      <w:spacing w:before="480" w:after="0"/>
      <w:jc w:val="left"/>
    </w:pPr>
    <w:rPr>
      <w:b/>
    </w:rPr>
  </w:style>
  <w:style w:type="paragraph" w:styleId="BasisEintrag" w:customStyle="1">
    <w:name w:val="Basis_Eintrag"/>
    <w:basedOn w:val="HyphenationNorSpacing"/>
    <w:qFormat/>
    <w:pPr>
      <w:tabs>
        <w:tab w:val="clear" w:pos="708"/>
        <w:tab w:val="left" w:pos="357" w:leader="none"/>
      </w:tabs>
      <w:spacing w:before="240" w:after="0"/>
      <w:ind w:left="357" w:hanging="357"/>
    </w:pPr>
    <w:rPr/>
  </w:style>
  <w:style w:type="paragraph" w:styleId="BasisReferenz" w:customStyle="1">
    <w:name w:val="Basis_Referenz"/>
    <w:basedOn w:val="HyphenationNorSpacing"/>
    <w:qFormat/>
    <w:pPr>
      <w:spacing w:before="240" w:after="0"/>
      <w:jc w:val="right"/>
    </w:pPr>
    <w:rPr>
      <w:u w:val="single"/>
    </w:rPr>
  </w:style>
  <w:style w:type="paragraph" w:styleId="01Text2num" w:customStyle="1">
    <w:name w:val="_01_Text_2_num"/>
    <w:basedOn w:val="Normal"/>
    <w:autoRedefine/>
    <w:qFormat/>
    <w:pPr>
      <w:numPr>
        <w:ilvl w:val="2"/>
        <w:numId w:val="37"/>
      </w:numPr>
      <w:spacing w:before="0" w:after="120"/>
      <w:ind w:right="567" w:hanging="0"/>
    </w:pPr>
    <w:rPr>
      <w:rFonts w:eastAsia="" w:cs="Times New Roman" w:eastAsiaTheme="minorEastAsia"/>
      <w:lang w:val="en-US" w:eastAsia="de-CH"/>
    </w:rPr>
  </w:style>
  <w:style w:type="paragraph" w:styleId="01Text3num" w:customStyle="1">
    <w:name w:val="_01_Text_3_num"/>
    <w:basedOn w:val="Normal"/>
    <w:qFormat/>
    <w:pPr>
      <w:widowControl w:val="false"/>
      <w:numPr>
        <w:ilvl w:val="4"/>
        <w:numId w:val="37"/>
      </w:numPr>
      <w:spacing w:before="0" w:after="120"/>
      <w:ind w:right="567" w:hanging="0"/>
    </w:pPr>
    <w:rPr>
      <w:rFonts w:eastAsia="Times New Roman" w:cs="Times New Roman"/>
      <w:iCs/>
      <w:szCs w:val="22"/>
      <w:lang w:val="en-US" w:eastAsia="de-CH"/>
    </w:rPr>
  </w:style>
  <w:style w:type="paragraph" w:styleId="01Text3numB" w:customStyle="1">
    <w:name w:val="_01_Text_3_numB"/>
    <w:basedOn w:val="Normal"/>
    <w:qFormat/>
    <w:pPr>
      <w:widowControl w:val="false"/>
      <w:numPr>
        <w:ilvl w:val="5"/>
        <w:numId w:val="37"/>
      </w:numPr>
      <w:spacing w:before="0" w:after="120"/>
      <w:ind w:right="567" w:hanging="0"/>
    </w:pPr>
    <w:rPr>
      <w:rFonts w:eastAsia="Times New Roman" w:cs="Times New Roman"/>
      <w:szCs w:val="22"/>
      <w:lang w:val="en-US" w:eastAsia="de-CH"/>
    </w:rPr>
  </w:style>
  <w:style w:type="paragraph" w:styleId="01Textalpha" w:customStyle="1">
    <w:name w:val="_01_Text_alpha"/>
    <w:basedOn w:val="Normal"/>
    <w:qFormat/>
    <w:pPr>
      <w:widowControl w:val="false"/>
      <w:numPr>
        <w:ilvl w:val="7"/>
        <w:numId w:val="37"/>
      </w:numPr>
      <w:spacing w:before="0" w:after="120"/>
      <w:ind w:right="567" w:hanging="0"/>
    </w:pPr>
    <w:rPr>
      <w:rFonts w:eastAsia="Times New Roman" w:cs="Times New Roman"/>
      <w:szCs w:val="22"/>
      <w:lang w:val="en-US" w:eastAsia="de-CH"/>
    </w:rPr>
  </w:style>
  <w:style w:type="paragraph" w:styleId="01Textroman" w:customStyle="1">
    <w:name w:val="_01_Text_roman"/>
    <w:basedOn w:val="Normal"/>
    <w:qFormat/>
    <w:pPr>
      <w:widowControl w:val="false"/>
      <w:numPr>
        <w:ilvl w:val="8"/>
        <w:numId w:val="37"/>
      </w:numPr>
      <w:spacing w:before="0" w:after="120"/>
      <w:ind w:right="567" w:hanging="0"/>
    </w:pPr>
    <w:rPr>
      <w:rFonts w:eastAsia="Times New Roman" w:cs="Times New Roman"/>
      <w:szCs w:val="22"/>
      <w:lang w:val="en-US" w:eastAsia="de-CH"/>
    </w:rPr>
  </w:style>
  <w:style w:type="paragraph" w:styleId="01Titel1" w:customStyle="1">
    <w:name w:val="_01_Titel_1"/>
    <w:basedOn w:val="Normal"/>
    <w:next w:val="Normal"/>
    <w:qFormat/>
    <w:pPr>
      <w:keepNext w:val="true"/>
      <w:numPr>
        <w:ilvl w:val="0"/>
        <w:numId w:val="37"/>
      </w:numPr>
      <w:spacing w:before="360" w:after="120"/>
      <w:ind w:right="567" w:hanging="0"/>
      <w:jc w:val="left"/>
      <w:outlineLvl w:val="0"/>
    </w:pPr>
    <w:rPr>
      <w:rFonts w:eastAsia="Times New Roman" w:cs="Times New Roman"/>
      <w:b/>
      <w:bCs/>
      <w:sz w:val="26"/>
      <w:szCs w:val="22"/>
      <w:lang w:val="en-US" w:eastAsia="de-CH"/>
    </w:rPr>
  </w:style>
  <w:style w:type="paragraph" w:styleId="01Titel2" w:customStyle="1">
    <w:name w:val="_01_Titel_2"/>
    <w:basedOn w:val="Normal"/>
    <w:next w:val="Normal"/>
    <w:qFormat/>
    <w:pPr>
      <w:keepNext w:val="true"/>
      <w:numPr>
        <w:ilvl w:val="1"/>
        <w:numId w:val="37"/>
      </w:numPr>
      <w:spacing w:before="240" w:after="120"/>
      <w:ind w:right="567" w:hanging="0"/>
      <w:jc w:val="left"/>
      <w:outlineLvl w:val="1"/>
    </w:pPr>
    <w:rPr>
      <w:rFonts w:eastAsia="Times New Roman" w:cs="Times New Roman"/>
      <w:b/>
      <w:bCs/>
      <w:szCs w:val="22"/>
      <w:lang w:val="en-US" w:eastAsia="de-CH"/>
    </w:rPr>
  </w:style>
  <w:style w:type="paragraph" w:styleId="01Titel3" w:customStyle="1">
    <w:name w:val="_01_Titel_3"/>
    <w:basedOn w:val="Normal"/>
    <w:next w:val="Normal"/>
    <w:qFormat/>
    <w:pPr>
      <w:keepNext w:val="true"/>
      <w:numPr>
        <w:ilvl w:val="3"/>
        <w:numId w:val="37"/>
      </w:numPr>
      <w:spacing w:before="120" w:after="120"/>
      <w:ind w:right="567" w:hanging="0"/>
      <w:jc w:val="left"/>
      <w:outlineLvl w:val="2"/>
    </w:pPr>
    <w:rPr>
      <w:rFonts w:eastAsia="Times New Roman" w:cs="Times New Roman"/>
      <w:i/>
      <w:iCs/>
      <w:szCs w:val="22"/>
      <w:lang w:val="en-US" w:eastAsia="de-CH"/>
    </w:rPr>
  </w:style>
  <w:style w:type="paragraph" w:styleId="01Titel4" w:customStyle="1">
    <w:name w:val="_01_Titel_4"/>
    <w:basedOn w:val="01Titel3"/>
    <w:qFormat/>
    <w:pPr>
      <w:ind w:left="2520" w:right="565" w:hanging="360"/>
    </w:pPr>
    <w:rPr/>
  </w:style>
  <w:style w:type="paragraph" w:styleId="Revision">
    <w:name w:val="Revision"/>
    <w:uiPriority w:val="99"/>
    <w:semiHidden/>
    <w:qFormat/>
    <w:pPr>
      <w:widowControl/>
      <w:suppressAutoHyphens w:val="true"/>
      <w:bidi w:val="0"/>
      <w:spacing w:lineRule="auto" w:line="240" w:before="0" w:after="0"/>
      <w:jc w:val="left"/>
    </w:pPr>
    <w:rPr>
      <w:rFonts w:ascii="Times New Roman" w:hAnsi="Times New Roman" w:eastAsia="Calibri" w:cs="font292" w:eastAsiaTheme="minorHAnsi"/>
      <w:color w:val="auto"/>
      <w:kern w:val="0"/>
      <w:sz w:val="24"/>
      <w:szCs w:val="24"/>
      <w:lang w:val="de-CH" w:eastAsia="en-US" w:bidi="ar-SA"/>
    </w:rPr>
  </w:style>
  <w:style w:type="numbering" w:styleId="NoList" w:default="1">
    <w:name w:val="No List"/>
    <w:uiPriority w:val="99"/>
    <w:semiHidden/>
    <w:unhideWhenUsed/>
    <w:qFormat/>
  </w:style>
  <w:style w:type="numbering" w:styleId="Style11" w:customStyle="1">
    <w:name w:val="Style1"/>
    <w:uiPriority w:val="99"/>
    <w:qFormat/>
  </w:style>
  <w:style w:type="numbering" w:styleId="Aufzhlung2" w:customStyle="1">
    <w:name w:val="Aufzählung 2"/>
    <w:uiPriority w:val="99"/>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pPr>
      <w:spacing w:line="312" w:lineRule="auto"/>
      <w:jc w:val="left"/>
    </w:pPr>
    <w:rPr>
      <w:lang w:val="de-DE" w:eastAsia="de-DE"/>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List4">
    <w:name w:val="Table List 4"/>
    <w:basedOn w:val="TableNormal"/>
    <w:pPr>
      <w:spacing w:line="312" w:lineRule="auto"/>
      <w:jc w:val="left"/>
    </w:pPr>
    <w:rPr>
      <w:lang w:val="de-DE" w:eastAsia="de-DE"/>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3Deffects3">
    <w:name w:val="Table 3D effects 3"/>
    <w:basedOn w:val="TableNormal"/>
    <w:pPr>
      <w:spacing w:line="312" w:lineRule="auto"/>
      <w:jc w:val="left"/>
    </w:pPr>
    <w:rPr>
      <w:lang w:val="de-DE" w:eastAsia="de-DE"/>
      <w:sz w:val="20"/>
      <w:szCs w:val="20"/>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3ed4ad-0f07-451f-a0f6-1318a7cef09e">
      <Terms xmlns="http://schemas.microsoft.com/office/infopath/2007/PartnerControls"/>
    </lcf76f155ced4ddcb4097134ff3c332f>
    <TaxCatchAll xmlns="b1625c58-6534-4efa-ba1e-b0f2b7c55c94" xsi:nil="true"/>
    <_dlc_DocId xmlns="b1625c58-6534-4efa-ba1e-b0f2b7c55c94">U723CK6MPSCQ-950144434-2207</_dlc_DocId>
    <_dlc_DocIdUrl xmlns="b1625c58-6534-4efa-ba1e-b0f2b7c55c94">
      <Url>https://anandicmedicalsystems.sharepoint.com/sites/D365/_layouts/15/DocIdRedir.aspx?ID=U723CK6MPSCQ-950144434-2207</Url>
      <Description>U723CK6MPSCQ-950144434-2207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A965FAE02A623749844B335FA2018C16" ma:contentTypeVersion="15" ma:contentTypeDescription="Ein neues Dokument erstellen." ma:contentTypeScope="" ma:versionID="5ce2f1005531b23fd9c33d0b39cc815b">
  <xsd:schema xmlns:xsd="http://www.w3.org/2001/XMLSchema" xmlns:xs="http://www.w3.org/2001/XMLSchema" xmlns:p="http://schemas.microsoft.com/office/2006/metadata/properties" xmlns:ns2="b1625c58-6534-4efa-ba1e-b0f2b7c55c94" xmlns:ns3="233ed4ad-0f07-451f-a0f6-1318a7cef09e" targetNamespace="http://schemas.microsoft.com/office/2006/metadata/properties" ma:root="true" ma:fieldsID="33da7bd9c8ab1ebfe1eeeaf9257893d3" ns2:_="" ns3:_="">
    <xsd:import namespace="b1625c58-6534-4efa-ba1e-b0f2b7c55c94"/>
    <xsd:import namespace="233ed4ad-0f07-451f-a0f6-1318a7cef0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25c58-6534-4efa-ba1e-b0f2b7c55c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862dbcd-4a07-47c3-b6b9-831a6ed5c6d1}" ma:internalName="TaxCatchAll" ma:showField="CatchAllData" ma:web="b1625c58-6534-4efa-ba1e-b0f2b7c55c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ed4ad-0f07-451f-a0f6-1318a7cef0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22f62b-b8f2-4406-a6af-450a7657cf5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1AAE6-48B4-46FC-A480-9A9F439E751A}">
  <ds:schemaRefs>
    <ds:schemaRef ds:uri="http://schemas.microsoft.com/sharepoint/events"/>
  </ds:schemaRefs>
</ds:datastoreItem>
</file>

<file path=customXml/itemProps2.xml><?xml version="1.0" encoding="utf-8"?>
<ds:datastoreItem xmlns:ds="http://schemas.openxmlformats.org/officeDocument/2006/customXml" ds:itemID="{0F0B184F-B1C2-4AA4-8269-D24739C5811F}">
  <ds:schemaRefs>
    <ds:schemaRef ds:uri="http://schemas.microsoft.com/sharepoint/v3/contenttype/forms"/>
  </ds:schemaRefs>
</ds:datastoreItem>
</file>

<file path=customXml/itemProps3.xml><?xml version="1.0" encoding="utf-8"?>
<ds:datastoreItem xmlns:ds="http://schemas.openxmlformats.org/officeDocument/2006/customXml" ds:itemID="{9E00B73B-C1E3-4EA5-A33B-ACABA991022B}">
  <ds:schemaRefs>
    <ds:schemaRef ds:uri="http://schemas.microsoft.com/office/2006/metadata/properties"/>
    <ds:schemaRef ds:uri="http://schemas.microsoft.com/office/infopath/2007/PartnerControls"/>
    <ds:schemaRef ds:uri="233ed4ad-0f07-451f-a0f6-1318a7cef09e"/>
    <ds:schemaRef ds:uri="b1625c58-6534-4efa-ba1e-b0f2b7c55c94"/>
  </ds:schemaRefs>
</ds:datastoreItem>
</file>

<file path=customXml/itemProps4.xml><?xml version="1.0" encoding="utf-8"?>
<ds:datastoreItem xmlns:ds="http://schemas.openxmlformats.org/officeDocument/2006/customXml" ds:itemID="{C02ED375-3147-4D11-9CCC-E80564B54D17}">
  <ds:schemaRefs>
    <ds:schemaRef ds:uri="http://schemas.openxmlformats.org/officeDocument/2006/bibliography"/>
  </ds:schemaRefs>
</ds:datastoreItem>
</file>

<file path=customXml/itemProps5.xml><?xml version="1.0" encoding="utf-8"?>
<ds:datastoreItem xmlns:ds="http://schemas.openxmlformats.org/officeDocument/2006/customXml" ds:itemID="{AF2C6AC6-6432-4B04-BE56-7BC1E5C3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25c58-6534-4efa-ba1e-b0f2b7c55c94"/>
    <ds:schemaRef ds:uri="233ed4ad-0f07-451f-a0f6-1318a7cef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AgreementEN</Template>
  <TotalTime>6</TotalTime>
  <Application>LibreOffice/7.3.7.2$Windows_X86_64 LibreOffice_project/e114eadc50a9ff8d8c8a0567d6da8f454beeb84f</Application>
  <AppVersion>15.0000</AppVersion>
  <Pages>20</Pages>
  <Words>3922</Words>
  <Characters>21384</Characters>
  <CharactersWithSpaces>24992</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2023-12-18T12:46:00Z</dcterms:created>
  <dc:creator>Severin Etzensperger</dc:creator>
  <dc:description/>
  <dc:language>en-GB</dc:language>
  <cp:lastModifiedBy/>
  <cp:lastPrinted>2022-04-05T11:35:00Z</cp:lastPrinted>
  <dcterms:modified xsi:type="dcterms:W3CDTF">2023-12-29T07:08:29Z</dcterms:modified>
  <cp:revision>5</cp:revision>
  <dc:subject>Subject</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Address</vt:lpwstr>
  </property>
  <property fmtid="{D5CDD505-2E9C-101B-9397-08002B2CF9AE}" pid="3" name="BOAbschluss">
    <vt:lpwstr>:</vt:lpwstr>
  </property>
  <property fmtid="{D5CDD505-2E9C-101B-9397-08002B2CF9AE}" pid="4" name="BracketLeft">
    <vt:lpwstr/>
  </property>
  <property fmtid="{D5CDD505-2E9C-101B-9397-08002B2CF9AE}" pid="5" name="BracketRight">
    <vt:lpwstr/>
  </property>
  <property fmtid="{D5CDD505-2E9C-101B-9397-08002B2CF9AE}" pid="6" name="ContentTypeId">
    <vt:lpwstr>0x010100A965FAE02A623749844B335FA2018C16</vt:lpwstr>
  </property>
  <property fmtid="{D5CDD505-2E9C-101B-9397-08002B2CF9AE}" pid="7" name="Date">
    <vt:lpwstr>Date</vt:lpwstr>
  </property>
  <property fmtid="{D5CDD505-2E9C-101B-9397-08002B2CF9AE}" pid="8" name="DocumentOwner">
    <vt:lpwstr>Pestalozzi</vt:lpwstr>
  </property>
  <property fmtid="{D5CDD505-2E9C-101B-9397-08002B2CF9AE}" pid="9" name="Enclosure1">
    <vt:lpwstr>Enclosure1</vt:lpwstr>
  </property>
  <property fmtid="{D5CDD505-2E9C-101B-9397-08002B2CF9AE}" pid="10" name="Enclosure2">
    <vt:lpwstr>Enclosure2</vt:lpwstr>
  </property>
  <property fmtid="{D5CDD505-2E9C-101B-9397-08002B2CF9AE}" pid="11" name="FieldDAdresse">
    <vt:lpwstr>Adresse</vt:lpwstr>
  </property>
  <property fmtid="{D5CDD505-2E9C-101B-9397-08002B2CF9AE}" pid="12" name="FieldDAngaben">
    <vt:lpwstr>Angaben über Kläger und Beklagte</vt:lpwstr>
  </property>
  <property fmtid="{D5CDD505-2E9C-101B-9397-08002B2CF9AE}" pid="13" name="FieldDAnredeGerichtGross">
    <vt:lpwstr>Sehr geehrte/r Anrede</vt:lpwstr>
  </property>
  <property fmtid="{D5CDD505-2E9C-101B-9397-08002B2CF9AE}" pid="14" name="FieldDAnredeGerichtKlein">
    <vt:lpwstr>sehr geehrte/r Anrede</vt:lpwstr>
  </property>
  <property fmtid="{D5CDD505-2E9C-101B-9397-08002B2CF9AE}" pid="15" name="FieldDBeklagten">
    <vt:lpwstr>Beklagte/n</vt:lpwstr>
  </property>
  <property fmtid="{D5CDD505-2E9C-101B-9397-08002B2CF9AE}" pid="16" name="FieldDBeklagterBeklagte">
    <vt:lpwstr>Beklagte/r</vt:lpwstr>
  </property>
  <property fmtid="{D5CDD505-2E9C-101B-9397-08002B2CF9AE}" pid="17" name="FieldDBetrag">
    <vt:lpwstr>Betrag</vt:lpwstr>
  </property>
  <property fmtid="{D5CDD505-2E9C-101B-9397-08002B2CF9AE}" pid="18" name="FieldDDatum">
    <vt:lpwstr>Datum</vt:lpwstr>
  </property>
  <property fmtid="{D5CDD505-2E9C-101B-9397-08002B2CF9AE}" pid="19" name="FieldDDemDerGross">
    <vt:lpwstr>Dem/Der</vt:lpwstr>
  </property>
  <property fmtid="{D5CDD505-2E9C-101B-9397-08002B2CF9AE}" pid="20" name="FieldDDemDerKlein">
    <vt:lpwstr>dem/der</vt:lpwstr>
  </property>
  <property fmtid="{D5CDD505-2E9C-101B-9397-08002B2CF9AE}" pid="21" name="FieldDDemDerKleinKlaegerKlaegerin">
    <vt:lpwstr>dem/der Kläger/Klägerin</vt:lpwstr>
  </property>
  <property fmtid="{D5CDD505-2E9C-101B-9397-08002B2CF9AE}" pid="22" name="FieldDDenDieGross">
    <vt:lpwstr>Den/Die</vt:lpwstr>
  </property>
  <property fmtid="{D5CDD505-2E9C-101B-9397-08002B2CF9AE}" pid="23" name="FieldDDenDieKleinBeklagten">
    <vt:lpwstr>den/die Beklagte/n</vt:lpwstr>
  </property>
  <property fmtid="{D5CDD505-2E9C-101B-9397-08002B2CF9AE}" pid="24" name="FieldDDenDieKleinKlaegerKlaegerin">
    <vt:lpwstr>den/die Kläger/Klägerin</vt:lpwstr>
  </property>
  <property fmtid="{D5CDD505-2E9C-101B-9397-08002B2CF9AE}" pid="25" name="FieldDDerDieGross">
    <vt:lpwstr>Der/Die</vt:lpwstr>
  </property>
  <property fmtid="{D5CDD505-2E9C-101B-9397-08002B2CF9AE}" pid="26" name="FieldDDerDieGrossKlaegerKlaegerin">
    <vt:lpwstr>Der/Die Kläger/in</vt:lpwstr>
  </property>
  <property fmtid="{D5CDD505-2E9C-101B-9397-08002B2CF9AE}" pid="27" name="FieldDDerDieKlein">
    <vt:lpwstr>der/die</vt:lpwstr>
  </property>
  <property fmtid="{D5CDD505-2E9C-101B-9397-08002B2CF9AE}" pid="28" name="FieldDDesDerGross">
    <vt:lpwstr>Des/Der</vt:lpwstr>
  </property>
  <property fmtid="{D5CDD505-2E9C-101B-9397-08002B2CF9AE}" pid="29" name="FieldDDesDerKlein">
    <vt:lpwstr>des/der</vt:lpwstr>
  </property>
  <property fmtid="{D5CDD505-2E9C-101B-9397-08002B2CF9AE}" pid="30" name="FieldDDesDerKleinKlaegersKlaegerin">
    <vt:lpwstr>des/der Klägers/Klägerin</vt:lpwstr>
  </property>
  <property fmtid="{D5CDD505-2E9C-101B-9397-08002B2CF9AE}" pid="31" name="FieldDDoppel">
    <vt:lpwstr>Im Doppel</vt:lpwstr>
  </property>
  <property fmtid="{D5CDD505-2E9C-101B-9397-08002B2CF9AE}" pid="32" name="FieldDErsuche">
    <vt:lpwstr>ersuche/n</vt:lpwstr>
  </property>
  <property fmtid="{D5CDD505-2E9C-101B-9397-08002B2CF9AE}" pid="33" name="FieldDErsucheIchWir">
    <vt:lpwstr>ersuche/n ich/wir</vt:lpwstr>
  </property>
  <property fmtid="{D5CDD505-2E9C-101B-9397-08002B2CF9AE}" pid="34" name="FieldDF3">
    <vt:lpwstr>KürzelUndF3</vt:lpwstr>
  </property>
  <property fmtid="{D5CDD505-2E9C-101B-9397-08002B2CF9AE}" pid="35" name="FieldDForderung">
    <vt:lpwstr>Forderung</vt:lpwstr>
  </property>
  <property fmtid="{D5CDD505-2E9C-101B-9397-08002B2CF9AE}" pid="36" name="FieldDGeschaeftsnr">
    <vt:lpwstr>Verfahren Nr.</vt:lpwstr>
  </property>
  <property fmtid="{D5CDD505-2E9C-101B-9397-08002B2CF9AE}" pid="37" name="FieldDIhnSie">
    <vt:lpwstr>ihn/sie</vt:lpwstr>
  </property>
  <property fmtid="{D5CDD505-2E9C-101B-9397-08002B2CF9AE}" pid="38" name="FieldDKlaegerKlaegerin">
    <vt:lpwstr>Kläger/in</vt:lpwstr>
  </property>
  <property fmtid="{D5CDD505-2E9C-101B-9397-08002B2CF9AE}" pid="39" name="FieldDKlaegersKlaegerin">
    <vt:lpwstr>Klägers/Klägerin</vt:lpwstr>
  </property>
  <property fmtid="{D5CDD505-2E9C-101B-9397-08002B2CF9AE}" pid="40" name="FieldDKlage">
    <vt:lpwstr>Klage</vt:lpwstr>
  </property>
  <property fmtid="{D5CDD505-2E9C-101B-9397-08002B2CF9AE}" pid="41" name="FieldDKlageschrift">
    <vt:lpwstr>Klageschrift</vt:lpwstr>
  </property>
  <property fmtid="{D5CDD505-2E9C-101B-9397-08002B2CF9AE}" pid="42" name="FieldDMwSt">
    <vt:lpwstr>(zuzüglich MWST) </vt:lpwstr>
  </property>
  <property fmtid="{D5CDD505-2E9C-101B-9397-08002B2CF9AE}" pid="43" name="FieldDName">
    <vt:lpwstr>Name</vt:lpwstr>
  </property>
  <property fmtid="{D5CDD505-2E9C-101B-9397-08002B2CF9AE}" pid="44" name="FieldDNameGericht">
    <vt:lpwstr>Name des Gerichts</vt:lpwstr>
  </property>
  <property fmtid="{D5CDD505-2E9C-101B-9397-08002B2CF9AE}" pid="45" name="FieldDNr">
    <vt:lpwstr>Nr.</vt:lpwstr>
  </property>
  <property fmtid="{D5CDD505-2E9C-101B-9397-08002B2CF9AE}" pid="46" name="FieldDOrderTerms">
    <vt:lpwstr>Schiedsordnung</vt:lpwstr>
  </property>
  <property fmtid="{D5CDD505-2E9C-101B-9397-08002B2CF9AE}" pid="47" name="FieldDOrt">
    <vt:lpwstr>Ort</vt:lpwstr>
  </property>
  <property fmtid="{D5CDD505-2E9C-101B-9397-08002B2CF9AE}" pid="48" name="FieldDRechtsanwalt">
    <vt:lpwstr>Name und Adresse des Rechtsanwalts</vt:lpwstr>
  </property>
  <property fmtid="{D5CDD505-2E9C-101B-9397-08002B2CF9AE}" pid="49" name="FieldDSeineIhre">
    <vt:lpwstr>seine/ihre</vt:lpwstr>
  </property>
  <property fmtid="{D5CDD505-2E9C-101B-9397-08002B2CF9AE}" pid="50" name="FieldDSignaturAnwalt">
    <vt:lpwstr>Name Anwalt/Anwältin</vt:lpwstr>
  </property>
  <property fmtid="{D5CDD505-2E9C-101B-9397-08002B2CF9AE}" pid="51" name="FieldDSindIst">
    <vt:lpwstr>sind/ist</vt:lpwstr>
  </property>
  <property fmtid="{D5CDD505-2E9C-101B-9397-08002B2CF9AE}" pid="52" name="FieldDText">
    <vt:lpwstr>Text</vt:lpwstr>
  </property>
  <property fmtid="{D5CDD505-2E9C-101B-9397-08002B2CF9AE}" pid="53" name="FieldDUnterzeichnenden">
    <vt:lpwstr>Unterzeichnende/n</vt:lpwstr>
  </property>
  <property fmtid="{D5CDD505-2E9C-101B-9397-08002B2CF9AE}" pid="54" name="FieldDVomVonDerGross">
    <vt:lpwstr>Vom/Von der</vt:lpwstr>
  </property>
  <property fmtid="{D5CDD505-2E9C-101B-9397-08002B2CF9AE}" pid="55" name="FieldDVomVonDerKleinKlaegerKlaegerin">
    <vt:lpwstr>vom/von der Kläger/in</vt:lpwstr>
  </property>
  <property fmtid="{D5CDD505-2E9C-101B-9397-08002B2CF9AE}" pid="56" name="FieldDZustaendigkeit">
    <vt:lpwstr>Örtliche und sachliche Zuständigkeit</vt:lpwstr>
  </property>
  <property fmtid="{D5CDD505-2E9C-101B-9397-08002B2CF9AE}" pid="57" name="FieldEAdresse">
    <vt:lpwstr>Address</vt:lpwstr>
  </property>
  <property fmtid="{D5CDD505-2E9C-101B-9397-08002B2CF9AE}" pid="58" name="FieldEAnkuendigung">
    <vt:lpwstr>Notice of Arbitration</vt:lpwstr>
  </property>
  <property fmtid="{D5CDD505-2E9C-101B-9397-08002B2CF9AE}" pid="59" name="FieldEBeklagterBeklagte">
    <vt:lpwstr>Respondent</vt:lpwstr>
  </property>
  <property fmtid="{D5CDD505-2E9C-101B-9397-08002B2CF9AE}" pid="60" name="FieldEBetrag">
    <vt:lpwstr>amount</vt:lpwstr>
  </property>
  <property fmtid="{D5CDD505-2E9C-101B-9397-08002B2CF9AE}" pid="61" name="FieldEDatum">
    <vt:lpwstr>Date</vt:lpwstr>
  </property>
  <property fmtid="{D5CDD505-2E9C-101B-9397-08002B2CF9AE}" pid="62" name="FieldEDefinition">
    <vt:lpwstr>Definition</vt:lpwstr>
  </property>
  <property fmtid="{D5CDD505-2E9C-101B-9397-08002B2CF9AE}" pid="63" name="FieldEDoppel">
    <vt:lpwstr>Number of copies</vt:lpwstr>
  </property>
  <property fmtid="{D5CDD505-2E9C-101B-9397-08002B2CF9AE}" pid="64" name="FieldEF3">
    <vt:lpwstr>ShortmarkFollowedByF3</vt:lpwstr>
  </property>
  <property fmtid="{D5CDD505-2E9C-101B-9397-08002B2CF9AE}" pid="65" name="FieldEGerichtsbeschluss">
    <vt:lpwstr>Procedural Order</vt:lpwstr>
  </property>
  <property fmtid="{D5CDD505-2E9C-101B-9397-08002B2CF9AE}" pid="66" name="FieldEGeschaeftsnr">
    <vt:lpwstr>docket number</vt:lpwstr>
  </property>
  <property fmtid="{D5CDD505-2E9C-101B-9397-08002B2CF9AE}" pid="67" name="FieldEKlaegerKlaegerin">
    <vt:lpwstr>Claimant</vt:lpwstr>
  </property>
  <property fmtid="{D5CDD505-2E9C-101B-9397-08002B2CF9AE}" pid="68" name="FieldEKlageschrift">
    <vt:lpwstr>Statement of Claim</vt:lpwstr>
  </property>
  <property fmtid="{D5CDD505-2E9C-101B-9397-08002B2CF9AE}" pid="69" name="FieldEMustervertrag">
    <vt:lpwstr>Template Agreement</vt:lpwstr>
  </property>
  <property fmtid="{D5CDD505-2E9C-101B-9397-08002B2CF9AE}" pid="70" name="FieldEMwSt">
    <vt:lpwstr>(plus VAT) </vt:lpwstr>
  </property>
  <property fmtid="{D5CDD505-2E9C-101B-9397-08002B2CF9AE}" pid="71" name="FieldEName">
    <vt:lpwstr>Name</vt:lpwstr>
  </property>
  <property fmtid="{D5CDD505-2E9C-101B-9397-08002B2CF9AE}" pid="72" name="FieldENameFunktion">
    <vt:lpwstr>Name, job title</vt:lpwstr>
  </property>
  <property fmtid="{D5CDD505-2E9C-101B-9397-08002B2CF9AE}" pid="73" name="FieldENr">
    <vt:lpwstr>No</vt:lpwstr>
  </property>
  <property fmtid="{D5CDD505-2E9C-101B-9397-08002B2CF9AE}" pid="74" name="FieldEOrderTerms">
    <vt:lpwstr>Arbitral Tribunal's First Order/Terms of Reference/Provisional Timetable</vt:lpwstr>
  </property>
  <property fmtid="{D5CDD505-2E9C-101B-9397-08002B2CF9AE}" pid="75" name="FieldEPartei1">
    <vt:lpwstr>Party 1</vt:lpwstr>
  </property>
  <property fmtid="{D5CDD505-2E9C-101B-9397-08002B2CF9AE}" pid="76" name="FieldEPartei2">
    <vt:lpwstr>Party 2</vt:lpwstr>
  </property>
  <property fmtid="{D5CDD505-2E9C-101B-9397-08002B2CF9AE}" pid="77" name="FieldERechtsanwalt">
    <vt:lpwstr>name and address of attorney</vt:lpwstr>
  </property>
  <property fmtid="{D5CDD505-2E9C-101B-9397-08002B2CF9AE}" pid="78" name="FieldESignaturAnwalt">
    <vt:lpwstr>Name of attorney</vt:lpwstr>
  </property>
  <property fmtid="{D5CDD505-2E9C-101B-9397-08002B2CF9AE}" pid="79" name="FieldEText">
    <vt:lpwstr>Text</vt:lpwstr>
  </property>
  <property fmtid="{D5CDD505-2E9C-101B-9397-08002B2CF9AE}" pid="80" name="FieldETitel">
    <vt:lpwstr>Title</vt:lpwstr>
  </property>
  <property fmtid="{D5CDD505-2E9C-101B-9397-08002B2CF9AE}" pid="81" name="FieldETxtNum">
    <vt:lpwstr>Txt_num</vt:lpwstr>
  </property>
  <property fmtid="{D5CDD505-2E9C-101B-9397-08002B2CF9AE}" pid="82" name="FieldEVerteiler1">
    <vt:lpwstr>Arbitral Institution</vt:lpwstr>
  </property>
  <property fmtid="{D5CDD505-2E9C-101B-9397-08002B2CF9AE}" pid="83" name="FieldEVerteiler2">
    <vt:lpwstr>Attorney-at-law</vt:lpwstr>
  </property>
  <property fmtid="{D5CDD505-2E9C-101B-9397-08002B2CF9AE}" pid="84" name="FieldEWaehrung">
    <vt:lpwstr>currency</vt:lpwstr>
  </property>
  <property fmtid="{D5CDD505-2E9C-101B-9397-08002B2CF9AE}" pid="85" name="FieldFAdresse">
    <vt:lpwstr>Adresse</vt:lpwstr>
  </property>
  <property fmtid="{D5CDD505-2E9C-101B-9397-08002B2CF9AE}" pid="86" name="FieldFBeklagterBeklagte">
    <vt:lpwstr>Défendeur/Défenderesse</vt:lpwstr>
  </property>
  <property fmtid="{D5CDD505-2E9C-101B-9397-08002B2CF9AE}" pid="87" name="FieldFBetrag">
    <vt:lpwstr>montant</vt:lpwstr>
  </property>
  <property fmtid="{D5CDD505-2E9C-101B-9397-08002B2CF9AE}" pid="88" name="FieldFBevollmaechtigt">
    <vt:lpwstr>autorisé/autorisée/autorisés/autorisées</vt:lpwstr>
  </property>
  <property fmtid="{D5CDD505-2E9C-101B-9397-08002B2CF9AE}" pid="89" name="FieldFDatum">
    <vt:lpwstr>Date</vt:lpwstr>
  </property>
  <property fmtid="{D5CDD505-2E9C-101B-9397-08002B2CF9AE}" pid="90" name="FieldFDemDerKlein">
    <vt:lpwstr>au/à la</vt:lpwstr>
  </property>
  <property fmtid="{D5CDD505-2E9C-101B-9397-08002B2CF9AE}" pid="91" name="FieldFDerDieGross">
    <vt:lpwstr>Le/La/Les</vt:lpwstr>
  </property>
  <property fmtid="{D5CDD505-2E9C-101B-9397-08002B2CF9AE}" pid="92" name="FieldFDerDieKlein">
    <vt:lpwstr>le/la</vt:lpwstr>
  </property>
  <property fmtid="{D5CDD505-2E9C-101B-9397-08002B2CF9AE}" pid="93" name="FieldFDesDerKlein">
    <vt:lpwstr>du/de la</vt:lpwstr>
  </property>
  <property fmtid="{D5CDD505-2E9C-101B-9397-08002B2CF9AE}" pid="94" name="FieldFDoppel">
    <vt:lpwstr>En deux exemplaires</vt:lpwstr>
  </property>
  <property fmtid="{D5CDD505-2E9C-101B-9397-08002B2CF9AE}" pid="95" name="FieldFF3">
    <vt:lpwstr>SigleSuiviDeF3</vt:lpwstr>
  </property>
  <property fmtid="{D5CDD505-2E9C-101B-9397-08002B2CF9AE}" pid="96" name="FieldFForderung">
    <vt:lpwstr>une créance</vt:lpwstr>
  </property>
  <property fmtid="{D5CDD505-2E9C-101B-9397-08002B2CF9AE}" pid="97" name="FieldFKlaegerKlaegerin">
    <vt:lpwstr>Demandeur/Demanderesse</vt:lpwstr>
  </property>
  <property fmtid="{D5CDD505-2E9C-101B-9397-08002B2CF9AE}" pid="98" name="FieldFKlageschrift">
    <vt:lpwstr>Demande</vt:lpwstr>
  </property>
  <property fmtid="{D5CDD505-2E9C-101B-9397-08002B2CF9AE}" pid="99" name="FieldFMwSt">
    <vt:lpwstr>(TVA en sus)</vt:lpwstr>
  </property>
  <property fmtid="{D5CDD505-2E9C-101B-9397-08002B2CF9AE}" pid="100" name="FieldFName">
    <vt:lpwstr>Nom</vt:lpwstr>
  </property>
  <property fmtid="{D5CDD505-2E9C-101B-9397-08002B2CF9AE}" pid="101" name="FieldFNr">
    <vt:lpwstr>No</vt:lpwstr>
  </property>
  <property fmtid="{D5CDD505-2E9C-101B-9397-08002B2CF9AE}" pid="102" name="FieldFOrt">
    <vt:lpwstr>Lieu</vt:lpwstr>
  </property>
  <property fmtid="{D5CDD505-2E9C-101B-9397-08002B2CF9AE}" pid="103" name="FieldFRechtsanwalt">
    <vt:lpwstr>nom et adresse de l'avocat</vt:lpwstr>
  </property>
  <property fmtid="{D5CDD505-2E9C-101B-9397-08002B2CF9AE}" pid="104" name="FieldFSignaturAnwalt">
    <vt:lpwstr>Nom de l'avocat/e</vt:lpwstr>
  </property>
  <property fmtid="{D5CDD505-2E9C-101B-9397-08002B2CF9AE}" pid="105" name="FieldFSindIst">
    <vt:lpwstr>est/sont</vt:lpwstr>
  </property>
  <property fmtid="{D5CDD505-2E9C-101B-9397-08002B2CF9AE}" pid="106" name="FieldFUnterzeichnenden">
    <vt:lpwstr>soussigné/soussignée/soussignés/soussignées</vt:lpwstr>
  </property>
  <property fmtid="{D5CDD505-2E9C-101B-9397-08002B2CF9AE}" pid="107" name="FieldFVertreten">
    <vt:lpwstr>représenté/e</vt:lpwstr>
  </property>
  <property fmtid="{D5CDD505-2E9C-101B-9397-08002B2CF9AE}" pid="108" name="FieldFaxAn">
    <vt:lpwstr>To</vt:lpwstr>
  </property>
  <property fmtid="{D5CDD505-2E9C-101B-9397-08002B2CF9AE}" pid="109" name="FieldFaxAnNr">
    <vt:lpwstr>To No</vt:lpwstr>
  </property>
  <property fmtid="{D5CDD505-2E9C-101B-9397-08002B2CF9AE}" pid="110" name="FieldFaxCc">
    <vt:lpwstr>Cc</vt:lpwstr>
  </property>
  <property fmtid="{D5CDD505-2E9C-101B-9397-08002B2CF9AE}" pid="111" name="FieldFaxCcNr">
    <vt:lpwstr>Cc No</vt:lpwstr>
  </property>
  <property fmtid="{D5CDD505-2E9C-101B-9397-08002B2CF9AE}" pid="112" name="FieldFaxNumberOfPages">
    <vt:lpwstr>Number of pages</vt:lpwstr>
  </property>
  <property fmtid="{D5CDD505-2E9C-101B-9397-08002B2CF9AE}" pid="113" name="FieldFaxVon">
    <vt:lpwstr>From</vt:lpwstr>
  </property>
  <property fmtid="{D5CDD505-2E9C-101B-9397-08002B2CF9AE}" pid="114" name="HaveVertragsbeilagenDesignationsBeenSet">
    <vt:lpwstr>true</vt:lpwstr>
  </property>
  <property fmtid="{D5CDD505-2E9C-101B-9397-08002B2CF9AE}" pid="115" name="Lang0BOText">
    <vt:lpwstr>BO</vt:lpwstr>
  </property>
  <property fmtid="{D5CDD505-2E9C-101B-9397-08002B2CF9AE}" pid="116" name="Lang0InsertBO">
    <vt:lpwstr>Beilage</vt:lpwstr>
  </property>
  <property fmtid="{D5CDD505-2E9C-101B-9397-08002B2CF9AE}" pid="117" name="Lang0InsertBeilage">
    <vt:lpwstr>Beilage</vt:lpwstr>
  </property>
  <property fmtid="{D5CDD505-2E9C-101B-9397-08002B2CF9AE}" pid="118" name="Lang0InsertRechtsmaterial">
    <vt:lpwstr>Beilage LEX</vt:lpwstr>
  </property>
  <property fmtid="{D5CDD505-2E9C-101B-9397-08002B2CF9AE}" pid="119" name="Lang0InsertZeuge">
    <vt:lpwstr>Zeuge</vt:lpwstr>
  </property>
  <property fmtid="{D5CDD505-2E9C-101B-9397-08002B2CF9AE}" pid="120" name="Lang0InsertZeugenaussage">
    <vt:lpwstr>ZA</vt:lpwstr>
  </property>
  <property fmtid="{D5CDD505-2E9C-101B-9397-08002B2CF9AE}" pid="121" name="Lang0TitleBO">
    <vt:lpwstr>Urkunden</vt:lpwstr>
  </property>
  <property fmtid="{D5CDD505-2E9C-101B-9397-08002B2CF9AE}" pid="122" name="Lang0TitleBeilage">
    <vt:lpwstr>Beilagen</vt:lpwstr>
  </property>
  <property fmtid="{D5CDD505-2E9C-101B-9397-08002B2CF9AE}" pid="123" name="Lang0TitleBeweismittelverzeichnis">
    <vt:lpwstr>Beweismittelverzeichnis</vt:lpwstr>
  </property>
  <property fmtid="{D5CDD505-2E9C-101B-9397-08002B2CF9AE}" pid="124" name="Lang0TitleRechtsmaterial">
    <vt:lpwstr>Rechtsmaterialien</vt:lpwstr>
  </property>
  <property fmtid="{D5CDD505-2E9C-101B-9397-08002B2CF9AE}" pid="125" name="Lang0TitleZeuge">
    <vt:lpwstr>Zeugen</vt:lpwstr>
  </property>
  <property fmtid="{D5CDD505-2E9C-101B-9397-08002B2CF9AE}" pid="126" name="Lang0TitleZeugenaussage">
    <vt:lpwstr>Zeugenaussagen</vt:lpwstr>
  </property>
  <property fmtid="{D5CDD505-2E9C-101B-9397-08002B2CF9AE}" pid="127" name="Lang1033BOText">
    <vt:lpwstr>Evid.</vt:lpwstr>
  </property>
  <property fmtid="{D5CDD505-2E9C-101B-9397-08002B2CF9AE}" pid="128" name="Lang1033InsertAugenschein">
    <vt:lpwstr/>
  </property>
  <property fmtid="{D5CDD505-2E9C-101B-9397-08002B2CF9AE}" pid="129" name="Lang1033InsertAugenscheinAr">
    <vt:lpwstr>Inspection</vt:lpwstr>
  </property>
  <property fmtid="{D5CDD505-2E9C-101B-9397-08002B2CF9AE}" pid="130" name="Lang1033InsertBO">
    <vt:lpwstr/>
  </property>
  <property fmtid="{D5CDD505-2E9C-101B-9397-08002B2CF9AE}" pid="131" name="Lang1033InsertBeilage">
    <vt:lpwstr>Exhibit C-</vt:lpwstr>
  </property>
  <property fmtid="{D5CDD505-2E9C-101B-9397-08002B2CF9AE}" pid="132" name="Lang1033InsertBeweisaussage">
    <vt:lpwstr/>
  </property>
  <property fmtid="{D5CDD505-2E9C-101B-9397-08002B2CF9AE}" pid="133" name="Lang1033InsertEdition">
    <vt:lpwstr/>
  </property>
  <property fmtid="{D5CDD505-2E9C-101B-9397-08002B2CF9AE}" pid="134" name="Lang1033InsertEditionAr">
    <vt:lpwstr>Production Request</vt:lpwstr>
  </property>
  <property fmtid="{D5CDD505-2E9C-101B-9397-08002B2CF9AE}" pid="135" name="Lang1033InsertGegnerischeBeilage">
    <vt:lpwstr/>
  </property>
  <property fmtid="{D5CDD505-2E9C-101B-9397-08002B2CF9AE}" pid="136" name="Lang1033InsertGutachten">
    <vt:lpwstr/>
  </property>
  <property fmtid="{D5CDD505-2E9C-101B-9397-08002B2CF9AE}" pid="137" name="Lang1033InsertGutachtenAr">
    <vt:lpwstr>Expert Report</vt:lpwstr>
  </property>
  <property fmtid="{D5CDD505-2E9C-101B-9397-08002B2CF9AE}" pid="138" name="Lang1033InsertParteibefragung">
    <vt:lpwstr/>
  </property>
  <property fmtid="{D5CDD505-2E9C-101B-9397-08002B2CF9AE}" pid="139" name="Lang1033InsertRechtsmaterial">
    <vt:lpwstr>Exhibit LEX-C-</vt:lpwstr>
  </property>
  <property fmtid="{D5CDD505-2E9C-101B-9397-08002B2CF9AE}" pid="140" name="Lang1033InsertSachverstaendigenZeugnis">
    <vt:lpwstr>Expert Witness</vt:lpwstr>
  </property>
  <property fmtid="{D5CDD505-2E9C-101B-9397-08002B2CF9AE}" pid="141" name="Lang1033InsertSchriftlicheAuskunft">
    <vt:lpwstr/>
  </property>
  <property fmtid="{D5CDD505-2E9C-101B-9397-08002B2CF9AE}" pid="142" name="Lang1033InsertZeuge">
    <vt:lpwstr/>
  </property>
  <property fmtid="{D5CDD505-2E9C-101B-9397-08002B2CF9AE}" pid="143" name="Lang1033InsertZeugeAr">
    <vt:lpwstr>Witness</vt:lpwstr>
  </property>
  <property fmtid="{D5CDD505-2E9C-101B-9397-08002B2CF9AE}" pid="144" name="Lang1033InsertZeugenaussage">
    <vt:lpwstr>WS C-</vt:lpwstr>
  </property>
  <property fmtid="{D5CDD505-2E9C-101B-9397-08002B2CF9AE}" pid="145" name="Lang1033TitleAugenschein">
    <vt:lpwstr/>
  </property>
  <property fmtid="{D5CDD505-2E9C-101B-9397-08002B2CF9AE}" pid="146" name="Lang1033TitleAugenscheinAr">
    <vt:lpwstr>Inspection</vt:lpwstr>
  </property>
  <property fmtid="{D5CDD505-2E9C-101B-9397-08002B2CF9AE}" pid="147" name="Lang1033TitleBO">
    <vt:lpwstr/>
  </property>
  <property fmtid="{D5CDD505-2E9C-101B-9397-08002B2CF9AE}" pid="148" name="Lang1033TitleBeilage">
    <vt:lpwstr>Exhibits</vt:lpwstr>
  </property>
  <property fmtid="{D5CDD505-2E9C-101B-9397-08002B2CF9AE}" pid="149" name="Lang1033TitleBeweisaussage">
    <vt:lpwstr/>
  </property>
  <property fmtid="{D5CDD505-2E9C-101B-9397-08002B2CF9AE}" pid="150" name="Lang1033TitleBeweismittelverzeichnis">
    <vt:lpwstr>Index of Exhibits</vt:lpwstr>
  </property>
  <property fmtid="{D5CDD505-2E9C-101B-9397-08002B2CF9AE}" pid="151" name="Lang1033TitleEdition">
    <vt:lpwstr/>
  </property>
  <property fmtid="{D5CDD505-2E9C-101B-9397-08002B2CF9AE}" pid="152" name="Lang1033TitleEditionAr">
    <vt:lpwstr>Production Request</vt:lpwstr>
  </property>
  <property fmtid="{D5CDD505-2E9C-101B-9397-08002B2CF9AE}" pid="153" name="Lang1033TitleGegnerischeBeilage">
    <vt:lpwstr/>
  </property>
  <property fmtid="{D5CDD505-2E9C-101B-9397-08002B2CF9AE}" pid="154" name="Lang1033TitleGutachten">
    <vt:lpwstr/>
  </property>
  <property fmtid="{D5CDD505-2E9C-101B-9397-08002B2CF9AE}" pid="155" name="Lang1033TitleGutachtenAr">
    <vt:lpwstr>Expert Report</vt:lpwstr>
  </property>
  <property fmtid="{D5CDD505-2E9C-101B-9397-08002B2CF9AE}" pid="156" name="Lang1033TitleParteibefragung">
    <vt:lpwstr/>
  </property>
  <property fmtid="{D5CDD505-2E9C-101B-9397-08002B2CF9AE}" pid="157" name="Lang1033TitleRechtsmaterial">
    <vt:lpwstr>Legal Authorities</vt:lpwstr>
  </property>
  <property fmtid="{D5CDD505-2E9C-101B-9397-08002B2CF9AE}" pid="158" name="Lang1033TitleSachverstaendigenZeugnis">
    <vt:lpwstr>Expert Witness</vt:lpwstr>
  </property>
  <property fmtid="{D5CDD505-2E9C-101B-9397-08002B2CF9AE}" pid="159" name="Lang1033TitleSchriftlicheAuskunft">
    <vt:lpwstr/>
  </property>
  <property fmtid="{D5CDD505-2E9C-101B-9397-08002B2CF9AE}" pid="160" name="Lang1033TitleZeuge">
    <vt:lpwstr/>
  </property>
  <property fmtid="{D5CDD505-2E9C-101B-9397-08002B2CF9AE}" pid="161" name="Lang1033TitleZeugeAr">
    <vt:lpwstr>Witnesses</vt:lpwstr>
  </property>
  <property fmtid="{D5CDD505-2E9C-101B-9397-08002B2CF9AE}" pid="162" name="Lang1033TitleZeugenaussage">
    <vt:lpwstr>Witness Statements</vt:lpwstr>
  </property>
  <property fmtid="{D5CDD505-2E9C-101B-9397-08002B2CF9AE}" pid="163" name="Lang1033VertragsbeilageDesignation">
    <vt:lpwstr>annex </vt:lpwstr>
  </property>
  <property fmtid="{D5CDD505-2E9C-101B-9397-08002B2CF9AE}" pid="164" name="Lang1033VertragsbeilageIndextitle">
    <vt:lpwstr>Annexes</vt:lpwstr>
  </property>
  <property fmtid="{D5CDD505-2E9C-101B-9397-08002B2CF9AE}" pid="165" name="Lang2055BOText">
    <vt:lpwstr>BO</vt:lpwstr>
  </property>
  <property fmtid="{D5CDD505-2E9C-101B-9397-08002B2CF9AE}" pid="166" name="Lang2055InsertAugenschein">
    <vt:lpwstr>Augenschein</vt:lpwstr>
  </property>
  <property fmtid="{D5CDD505-2E9C-101B-9397-08002B2CF9AE}" pid="167" name="Lang2055InsertAugenscheinAr">
    <vt:lpwstr>Augenschein</vt:lpwstr>
  </property>
  <property fmtid="{D5CDD505-2E9C-101B-9397-08002B2CF9AE}" pid="168" name="Lang2055InsertBO">
    <vt:lpwstr>Beilage </vt:lpwstr>
  </property>
  <property fmtid="{D5CDD505-2E9C-101B-9397-08002B2CF9AE}" pid="169" name="Lang2055InsertBeilage">
    <vt:lpwstr>Beilage K-</vt:lpwstr>
  </property>
  <property fmtid="{D5CDD505-2E9C-101B-9397-08002B2CF9AE}" pid="170" name="Lang2055InsertBeweisaussage">
    <vt:lpwstr>Parteibefragung/ Beweisaussage</vt:lpwstr>
  </property>
  <property fmtid="{D5CDD505-2E9C-101B-9397-08002B2CF9AE}" pid="171" name="Lang2055InsertEdition">
    <vt:lpwstr>Edition</vt:lpwstr>
  </property>
  <property fmtid="{D5CDD505-2E9C-101B-9397-08002B2CF9AE}" pid="172" name="Lang2055InsertEditionAr">
    <vt:lpwstr>Edition</vt:lpwstr>
  </property>
  <property fmtid="{D5CDD505-2E9C-101B-9397-08002B2CF9AE}" pid="173" name="Lang2055InsertGegnerischeBeilage">
    <vt:lpwstr>Gegnerische Beilage</vt:lpwstr>
  </property>
  <property fmtid="{D5CDD505-2E9C-101B-9397-08002B2CF9AE}" pid="174" name="Lang2055InsertGutachten">
    <vt:lpwstr>Gutachten</vt:lpwstr>
  </property>
  <property fmtid="{D5CDD505-2E9C-101B-9397-08002B2CF9AE}" pid="175" name="Lang2055InsertGutachtenAr">
    <vt:lpwstr>Gutachten</vt:lpwstr>
  </property>
  <property fmtid="{D5CDD505-2E9C-101B-9397-08002B2CF9AE}" pid="176" name="Lang2055InsertParteibefragung">
    <vt:lpwstr>Parteibefragung</vt:lpwstr>
  </property>
  <property fmtid="{D5CDD505-2E9C-101B-9397-08002B2CF9AE}" pid="177" name="Lang2055InsertRechtsmaterial">
    <vt:lpwstr>Beilage LEX-K-</vt:lpwstr>
  </property>
  <property fmtid="{D5CDD505-2E9C-101B-9397-08002B2CF9AE}" pid="178" name="Lang2055InsertSachverstaendigenZeugnis">
    <vt:lpwstr>Sachverständigenzeugnis</vt:lpwstr>
  </property>
  <property fmtid="{D5CDD505-2E9C-101B-9397-08002B2CF9AE}" pid="179" name="Lang2055InsertSchriftlicheAuskunft">
    <vt:lpwstr>Schriftliche Auskunft</vt:lpwstr>
  </property>
  <property fmtid="{D5CDD505-2E9C-101B-9397-08002B2CF9AE}" pid="180" name="Lang2055InsertZeuge">
    <vt:lpwstr>Zeugnis</vt:lpwstr>
  </property>
  <property fmtid="{D5CDD505-2E9C-101B-9397-08002B2CF9AE}" pid="181" name="Lang2055InsertZeugeAr">
    <vt:lpwstr>Zeugnis</vt:lpwstr>
  </property>
  <property fmtid="{D5CDD505-2E9C-101B-9397-08002B2CF9AE}" pid="182" name="Lang2055InsertZeugenaussage">
    <vt:lpwstr>ZA K-</vt:lpwstr>
  </property>
  <property fmtid="{D5CDD505-2E9C-101B-9397-08002B2CF9AE}" pid="183" name="Lang2055InsertZeugnis">
    <vt:lpwstr>Zeugnis</vt:lpwstr>
  </property>
  <property fmtid="{D5CDD505-2E9C-101B-9397-08002B2CF9AE}" pid="184" name="Lang2055TitleAugenschein">
    <vt:lpwstr>Augenschein</vt:lpwstr>
  </property>
  <property fmtid="{D5CDD505-2E9C-101B-9397-08002B2CF9AE}" pid="185" name="Lang2055TitleAugenscheinAr">
    <vt:lpwstr>Augenschein</vt:lpwstr>
  </property>
  <property fmtid="{D5CDD505-2E9C-101B-9397-08002B2CF9AE}" pid="186" name="Lang2055TitleBO">
    <vt:lpwstr>Urkunden</vt:lpwstr>
  </property>
  <property fmtid="{D5CDD505-2E9C-101B-9397-08002B2CF9AE}" pid="187" name="Lang2055TitleBeilage">
    <vt:lpwstr>Beilagen</vt:lpwstr>
  </property>
  <property fmtid="{D5CDD505-2E9C-101B-9397-08002B2CF9AE}" pid="188" name="Lang2055TitleBeweisaussage">
    <vt:lpwstr>Parteibefragung/Beweisaussage</vt:lpwstr>
  </property>
  <property fmtid="{D5CDD505-2E9C-101B-9397-08002B2CF9AE}" pid="189" name="Lang2055TitleBeweismittelverzeichnis">
    <vt:lpwstr>Beweismittelverzeichnis</vt:lpwstr>
  </property>
  <property fmtid="{D5CDD505-2E9C-101B-9397-08002B2CF9AE}" pid="190" name="Lang2055TitleEdition">
    <vt:lpwstr>Edition</vt:lpwstr>
  </property>
  <property fmtid="{D5CDD505-2E9C-101B-9397-08002B2CF9AE}" pid="191" name="Lang2055TitleEditionAr">
    <vt:lpwstr>Edition</vt:lpwstr>
  </property>
  <property fmtid="{D5CDD505-2E9C-101B-9397-08002B2CF9AE}" pid="192" name="Lang2055TitleGegnerischeBeilage">
    <vt:lpwstr>Gegnerische Beilagen</vt:lpwstr>
  </property>
  <property fmtid="{D5CDD505-2E9C-101B-9397-08002B2CF9AE}" pid="193" name="Lang2055TitleGutachten">
    <vt:lpwstr>Gutachten</vt:lpwstr>
  </property>
  <property fmtid="{D5CDD505-2E9C-101B-9397-08002B2CF9AE}" pid="194" name="Lang2055TitleGutachtenAr">
    <vt:lpwstr>Gutachten</vt:lpwstr>
  </property>
  <property fmtid="{D5CDD505-2E9C-101B-9397-08002B2CF9AE}" pid="195" name="Lang2055TitleParteibefragung">
    <vt:lpwstr>Parteibefragung</vt:lpwstr>
  </property>
  <property fmtid="{D5CDD505-2E9C-101B-9397-08002B2CF9AE}" pid="196" name="Lang2055TitleRechtsmaterial">
    <vt:lpwstr>Rechtsmaterialien</vt:lpwstr>
  </property>
  <property fmtid="{D5CDD505-2E9C-101B-9397-08002B2CF9AE}" pid="197" name="Lang2055TitleSachverstaendigenZeugnis">
    <vt:lpwstr>Sachverständigenzeugnis</vt:lpwstr>
  </property>
  <property fmtid="{D5CDD505-2E9C-101B-9397-08002B2CF9AE}" pid="198" name="Lang2055TitleSchriftlicheAuskunft">
    <vt:lpwstr>Schriftliche Auskunft</vt:lpwstr>
  </property>
  <property fmtid="{D5CDD505-2E9C-101B-9397-08002B2CF9AE}" pid="199" name="Lang2055TitleZeuge">
    <vt:lpwstr>Zeugen</vt:lpwstr>
  </property>
  <property fmtid="{D5CDD505-2E9C-101B-9397-08002B2CF9AE}" pid="200" name="Lang2055TitleZeugeAr">
    <vt:lpwstr>Zeugen</vt:lpwstr>
  </property>
  <property fmtid="{D5CDD505-2E9C-101B-9397-08002B2CF9AE}" pid="201" name="Lang2055TitleZeugenaussage">
    <vt:lpwstr>Zeugenaussagen</vt:lpwstr>
  </property>
  <property fmtid="{D5CDD505-2E9C-101B-9397-08002B2CF9AE}" pid="202" name="Lang2055TitleZeugnis">
    <vt:lpwstr>Zeugnis</vt:lpwstr>
  </property>
  <property fmtid="{D5CDD505-2E9C-101B-9397-08002B2CF9AE}" pid="203" name="Lang2055VertragsbeilageDesignation">
    <vt:lpwstr>Anhang </vt:lpwstr>
  </property>
  <property fmtid="{D5CDD505-2E9C-101B-9397-08002B2CF9AE}" pid="204" name="Lang2055VertragsbeilageIndextitle">
    <vt:lpwstr>Anhänge</vt:lpwstr>
  </property>
  <property fmtid="{D5CDD505-2E9C-101B-9397-08002B2CF9AE}" pid="205" name="Lang2064BOText">
    <vt:lpwstr/>
  </property>
  <property fmtid="{D5CDD505-2E9C-101B-9397-08002B2CF9AE}" pid="206" name="Lang2064InsertAugenschein">
    <vt:lpwstr/>
  </property>
  <property fmtid="{D5CDD505-2E9C-101B-9397-08002B2CF9AE}" pid="207" name="Lang2064InsertAugenscheinAr">
    <vt:lpwstr/>
  </property>
  <property fmtid="{D5CDD505-2E9C-101B-9397-08002B2CF9AE}" pid="208" name="Lang2064InsertBO">
    <vt:lpwstr/>
  </property>
  <property fmtid="{D5CDD505-2E9C-101B-9397-08002B2CF9AE}" pid="209" name="Lang2064InsertBeilage">
    <vt:lpwstr/>
  </property>
  <property fmtid="{D5CDD505-2E9C-101B-9397-08002B2CF9AE}" pid="210" name="Lang2064InsertBeweisaussage">
    <vt:lpwstr/>
  </property>
  <property fmtid="{D5CDD505-2E9C-101B-9397-08002B2CF9AE}" pid="211" name="Lang2064InsertEdition">
    <vt:lpwstr/>
  </property>
  <property fmtid="{D5CDD505-2E9C-101B-9397-08002B2CF9AE}" pid="212" name="Lang2064InsertEditionAr">
    <vt:lpwstr/>
  </property>
  <property fmtid="{D5CDD505-2E9C-101B-9397-08002B2CF9AE}" pid="213" name="Lang2064InsertGegnerischeBeilage">
    <vt:lpwstr/>
  </property>
  <property fmtid="{D5CDD505-2E9C-101B-9397-08002B2CF9AE}" pid="214" name="Lang2064InsertGutachten">
    <vt:lpwstr/>
  </property>
  <property fmtid="{D5CDD505-2E9C-101B-9397-08002B2CF9AE}" pid="215" name="Lang2064InsertGutachtenAr">
    <vt:lpwstr/>
  </property>
  <property fmtid="{D5CDD505-2E9C-101B-9397-08002B2CF9AE}" pid="216" name="Lang2064InsertParteibefragung">
    <vt:lpwstr/>
  </property>
  <property fmtid="{D5CDD505-2E9C-101B-9397-08002B2CF9AE}" pid="217" name="Lang2064InsertRechtsmaterial">
    <vt:lpwstr/>
  </property>
  <property fmtid="{D5CDD505-2E9C-101B-9397-08002B2CF9AE}" pid="218" name="Lang2064InsertSachverstaendigenZeugnis">
    <vt:lpwstr/>
  </property>
  <property fmtid="{D5CDD505-2E9C-101B-9397-08002B2CF9AE}" pid="219" name="Lang2064InsertSchriftlicheAuskunft">
    <vt:lpwstr/>
  </property>
  <property fmtid="{D5CDD505-2E9C-101B-9397-08002B2CF9AE}" pid="220" name="Lang2064InsertZeuge">
    <vt:lpwstr/>
  </property>
  <property fmtid="{D5CDD505-2E9C-101B-9397-08002B2CF9AE}" pid="221" name="Lang2064InsertZeugeAr">
    <vt:lpwstr/>
  </property>
  <property fmtid="{D5CDD505-2E9C-101B-9397-08002B2CF9AE}" pid="222" name="Lang2064InsertZeugenaussage">
    <vt:lpwstr/>
  </property>
  <property fmtid="{D5CDD505-2E9C-101B-9397-08002B2CF9AE}" pid="223" name="Lang2064TitleAugenschein">
    <vt:lpwstr/>
  </property>
  <property fmtid="{D5CDD505-2E9C-101B-9397-08002B2CF9AE}" pid="224" name="Lang2064TitleAugenscheinAr">
    <vt:lpwstr/>
  </property>
  <property fmtid="{D5CDD505-2E9C-101B-9397-08002B2CF9AE}" pid="225" name="Lang2064TitleBO">
    <vt:lpwstr/>
  </property>
  <property fmtid="{D5CDD505-2E9C-101B-9397-08002B2CF9AE}" pid="226" name="Lang2064TitleBeilage">
    <vt:lpwstr/>
  </property>
  <property fmtid="{D5CDD505-2E9C-101B-9397-08002B2CF9AE}" pid="227" name="Lang2064TitleBeweisaussage">
    <vt:lpwstr/>
  </property>
  <property fmtid="{D5CDD505-2E9C-101B-9397-08002B2CF9AE}" pid="228" name="Lang2064TitleBeweismittelverzeichnis">
    <vt:lpwstr/>
  </property>
  <property fmtid="{D5CDD505-2E9C-101B-9397-08002B2CF9AE}" pid="229" name="Lang2064TitleEdition">
    <vt:lpwstr/>
  </property>
  <property fmtid="{D5CDD505-2E9C-101B-9397-08002B2CF9AE}" pid="230" name="Lang2064TitleEditionAr">
    <vt:lpwstr/>
  </property>
  <property fmtid="{D5CDD505-2E9C-101B-9397-08002B2CF9AE}" pid="231" name="Lang2064TitleGegnerischeBeilage">
    <vt:lpwstr/>
  </property>
  <property fmtid="{D5CDD505-2E9C-101B-9397-08002B2CF9AE}" pid="232" name="Lang2064TitleGutachten">
    <vt:lpwstr/>
  </property>
  <property fmtid="{D5CDD505-2E9C-101B-9397-08002B2CF9AE}" pid="233" name="Lang2064TitleGutachtenAr">
    <vt:lpwstr/>
  </property>
  <property fmtid="{D5CDD505-2E9C-101B-9397-08002B2CF9AE}" pid="234" name="Lang2064TitleParteibefragung">
    <vt:lpwstr/>
  </property>
  <property fmtid="{D5CDD505-2E9C-101B-9397-08002B2CF9AE}" pid="235" name="Lang2064TitleRechtsmaterial">
    <vt:lpwstr/>
  </property>
  <property fmtid="{D5CDD505-2E9C-101B-9397-08002B2CF9AE}" pid="236" name="Lang2064TitleSachverstaendigenZeugnis">
    <vt:lpwstr/>
  </property>
  <property fmtid="{D5CDD505-2E9C-101B-9397-08002B2CF9AE}" pid="237" name="Lang2064TitleSchriftlicheAuskunft">
    <vt:lpwstr/>
  </property>
  <property fmtid="{D5CDD505-2E9C-101B-9397-08002B2CF9AE}" pid="238" name="Lang2064TitleZeuge">
    <vt:lpwstr/>
  </property>
  <property fmtid="{D5CDD505-2E9C-101B-9397-08002B2CF9AE}" pid="239" name="Lang2064TitleZeugeAr">
    <vt:lpwstr/>
  </property>
  <property fmtid="{D5CDD505-2E9C-101B-9397-08002B2CF9AE}" pid="240" name="Lang2064TitleZeugenaussage">
    <vt:lpwstr/>
  </property>
  <property fmtid="{D5CDD505-2E9C-101B-9397-08002B2CF9AE}" pid="241" name="Lang2064VertragsbeilageDesignation">
    <vt:lpwstr>supplemento </vt:lpwstr>
  </property>
  <property fmtid="{D5CDD505-2E9C-101B-9397-08002B2CF9AE}" pid="242" name="Lang2064VertragsbeilageIndextitle">
    <vt:lpwstr>Supplementi</vt:lpwstr>
  </property>
  <property fmtid="{D5CDD505-2E9C-101B-9397-08002B2CF9AE}" pid="243" name="Lang4108BOText">
    <vt:lpwstr>Preuve</vt:lpwstr>
  </property>
  <property fmtid="{D5CDD505-2E9C-101B-9397-08002B2CF9AE}" pid="244" name="Lang4108InsertAugenschein">
    <vt:lpwstr>Augenschein</vt:lpwstr>
  </property>
  <property fmtid="{D5CDD505-2E9C-101B-9397-08002B2CF9AE}" pid="245" name="Lang4108InsertAugenscheinAr">
    <vt:lpwstr/>
  </property>
  <property fmtid="{D5CDD505-2E9C-101B-9397-08002B2CF9AE}" pid="246" name="Lang4108InsertBO">
    <vt:lpwstr>Pièce </vt:lpwstr>
  </property>
  <property fmtid="{D5CDD505-2E9C-101B-9397-08002B2CF9AE}" pid="247" name="Lang4108InsertBeilage">
    <vt:lpwstr/>
  </property>
  <property fmtid="{D5CDD505-2E9C-101B-9397-08002B2CF9AE}" pid="248" name="Lang4108InsertBeweisaussage">
    <vt:lpwstr>Interrogatoire des parties/ déposition des parties</vt:lpwstr>
  </property>
  <property fmtid="{D5CDD505-2E9C-101B-9397-08002B2CF9AE}" pid="249" name="Lang4108InsertEdition">
    <vt:lpwstr>Réquisition de production</vt:lpwstr>
  </property>
  <property fmtid="{D5CDD505-2E9C-101B-9397-08002B2CF9AE}" pid="250" name="Lang4108InsertEditionAr">
    <vt:lpwstr/>
  </property>
  <property fmtid="{D5CDD505-2E9C-101B-9397-08002B2CF9AE}" pid="251" name="Lang4108InsertGegnerischeBeilage">
    <vt:lpwstr>Pièce de la contrepartie</vt:lpwstr>
  </property>
  <property fmtid="{D5CDD505-2E9C-101B-9397-08002B2CF9AE}" pid="252" name="Lang4108InsertGutachten">
    <vt:lpwstr>Gutachten</vt:lpwstr>
  </property>
  <property fmtid="{D5CDD505-2E9C-101B-9397-08002B2CF9AE}" pid="253" name="Lang4108InsertGutachtenAr">
    <vt:lpwstr/>
  </property>
  <property fmtid="{D5CDD505-2E9C-101B-9397-08002B2CF9AE}" pid="254" name="Lang4108InsertParteibefragung">
    <vt:lpwstr>Interrogatoire des parties</vt:lpwstr>
  </property>
  <property fmtid="{D5CDD505-2E9C-101B-9397-08002B2CF9AE}" pid="255" name="Lang4108InsertRechtsmaterial">
    <vt:lpwstr/>
  </property>
  <property fmtid="{D5CDD505-2E9C-101B-9397-08002B2CF9AE}" pid="256" name="Lang4108InsertSachverstaendigenZeugnis">
    <vt:lpwstr/>
  </property>
  <property fmtid="{D5CDD505-2E9C-101B-9397-08002B2CF9AE}" pid="257" name="Lang4108InsertSchriftlicheAuskunft">
    <vt:lpwstr>Renseignement écrit</vt:lpwstr>
  </property>
  <property fmtid="{D5CDD505-2E9C-101B-9397-08002B2CF9AE}" pid="258" name="Lang4108InsertZeuge">
    <vt:lpwstr>Témoignage</vt:lpwstr>
  </property>
  <property fmtid="{D5CDD505-2E9C-101B-9397-08002B2CF9AE}" pid="259" name="Lang4108InsertZeugeAr">
    <vt:lpwstr/>
  </property>
  <property fmtid="{D5CDD505-2E9C-101B-9397-08002B2CF9AE}" pid="260" name="Lang4108InsertZeugenaussage">
    <vt:lpwstr/>
  </property>
  <property fmtid="{D5CDD505-2E9C-101B-9397-08002B2CF9AE}" pid="261" name="Lang4108TitleAugenschein">
    <vt:lpwstr>Inspection</vt:lpwstr>
  </property>
  <property fmtid="{D5CDD505-2E9C-101B-9397-08002B2CF9AE}" pid="262" name="Lang4108TitleAugenscheinAr">
    <vt:lpwstr/>
  </property>
  <property fmtid="{D5CDD505-2E9C-101B-9397-08002B2CF9AE}" pid="263" name="Lang4108TitleBO">
    <vt:lpwstr>Pièces</vt:lpwstr>
  </property>
  <property fmtid="{D5CDD505-2E9C-101B-9397-08002B2CF9AE}" pid="264" name="Lang4108TitleBeilage">
    <vt:lpwstr/>
  </property>
  <property fmtid="{D5CDD505-2E9C-101B-9397-08002B2CF9AE}" pid="265" name="Lang4108TitleBeweisaussage">
    <vt:lpwstr>Interrogatoire des parties, déposition des parties</vt:lpwstr>
  </property>
  <property fmtid="{D5CDD505-2E9C-101B-9397-08002B2CF9AE}" pid="266" name="Lang4108TitleBeweismittelverzeichnis">
    <vt:lpwstr>Bordereau des moyens de preuve</vt:lpwstr>
  </property>
  <property fmtid="{D5CDD505-2E9C-101B-9397-08002B2CF9AE}" pid="267" name="Lang4108TitleEdition">
    <vt:lpwstr>Réquisition de production</vt:lpwstr>
  </property>
  <property fmtid="{D5CDD505-2E9C-101B-9397-08002B2CF9AE}" pid="268" name="Lang4108TitleEditionAr">
    <vt:lpwstr/>
  </property>
  <property fmtid="{D5CDD505-2E9C-101B-9397-08002B2CF9AE}" pid="269" name="Lang4108TitleGegnerischeBeilage">
    <vt:lpwstr>Pièces de la contrepartie</vt:lpwstr>
  </property>
  <property fmtid="{D5CDD505-2E9C-101B-9397-08002B2CF9AE}" pid="270" name="Lang4108TitleGutachten">
    <vt:lpwstr>Expertise</vt:lpwstr>
  </property>
  <property fmtid="{D5CDD505-2E9C-101B-9397-08002B2CF9AE}" pid="271" name="Lang4108TitleGutachtenAr">
    <vt:lpwstr/>
  </property>
  <property fmtid="{D5CDD505-2E9C-101B-9397-08002B2CF9AE}" pid="272" name="Lang4108TitleParteibefragung">
    <vt:lpwstr>Interrogatoire des parties</vt:lpwstr>
  </property>
  <property fmtid="{D5CDD505-2E9C-101B-9397-08002B2CF9AE}" pid="273" name="Lang4108TitleRechtsmaterial">
    <vt:lpwstr/>
  </property>
  <property fmtid="{D5CDD505-2E9C-101B-9397-08002B2CF9AE}" pid="274" name="Lang4108TitleSachverstaendigenZeugnis">
    <vt:lpwstr/>
  </property>
  <property fmtid="{D5CDD505-2E9C-101B-9397-08002B2CF9AE}" pid="275" name="Lang4108TitleSchriftlicheAuskunft">
    <vt:lpwstr>Renseignement écrit</vt:lpwstr>
  </property>
  <property fmtid="{D5CDD505-2E9C-101B-9397-08002B2CF9AE}" pid="276" name="Lang4108TitleZeuge">
    <vt:lpwstr>Témoignage</vt:lpwstr>
  </property>
  <property fmtid="{D5CDD505-2E9C-101B-9397-08002B2CF9AE}" pid="277" name="Lang4108TitleZeugeAr">
    <vt:lpwstr/>
  </property>
  <property fmtid="{D5CDD505-2E9C-101B-9397-08002B2CF9AE}" pid="278" name="Lang4108TitleZeugenaussage">
    <vt:lpwstr/>
  </property>
  <property fmtid="{D5CDD505-2E9C-101B-9397-08002B2CF9AE}" pid="279" name="Lang4108VertragsbeilageDesignation">
    <vt:lpwstr>annexe </vt:lpwstr>
  </property>
  <property fmtid="{D5CDD505-2E9C-101B-9397-08002B2CF9AE}" pid="280" name="Lang4108VertragsbeilageIndextitle">
    <vt:lpwstr>Annexes</vt:lpwstr>
  </property>
  <property fmtid="{D5CDD505-2E9C-101B-9397-08002B2CF9AE}" pid="281" name="Logo">
    <vt:lpwstr>RemoveLogo</vt:lpwstr>
  </property>
  <property fmtid="{D5CDD505-2E9C-101B-9397-08002B2CF9AE}" pid="282" name="LogoFooter">
    <vt:lpwstr>InsertLogoFooterColoured</vt:lpwstr>
  </property>
  <property fmtid="{D5CDD505-2E9C-101B-9397-08002B2CF9AE}" pid="283" name="LogoHeader">
    <vt:lpwstr>InsertLogoHeaderColoured</vt:lpwstr>
  </property>
  <property fmtid="{D5CDD505-2E9C-101B-9397-08002B2CF9AE}" pid="284" name="NumberOfCopies">
    <vt:lpwstr>NumberOfCopies</vt:lpwstr>
  </property>
  <property fmtid="{D5CDD505-2E9C-101B-9397-08002B2CF9AE}" pid="285" name="Recipient1">
    <vt:lpwstr>Recipient1</vt:lpwstr>
  </property>
  <property fmtid="{D5CDD505-2E9C-101B-9397-08002B2CF9AE}" pid="286" name="Recipient2">
    <vt:lpwstr>Recipient2</vt:lpwstr>
  </property>
  <property fmtid="{D5CDD505-2E9C-101B-9397-08002B2CF9AE}" pid="287" name="Reference">
    <vt:lpwstr>Christoph Ramstein 122202475_</vt:lpwstr>
  </property>
  <property fmtid="{D5CDD505-2E9C-101B-9397-08002B2CF9AE}" pid="288" name="Salutation">
    <vt:lpwstr>Salutation</vt:lpwstr>
  </property>
  <property fmtid="{D5CDD505-2E9C-101B-9397-08002B2CF9AE}" pid="289" name="Signature">
    <vt:lpwstr>Signature</vt:lpwstr>
  </property>
  <property fmtid="{D5CDD505-2E9C-101B-9397-08002B2CF9AE}" pid="290" name="Subject">
    <vt:lpwstr>Subject</vt:lpwstr>
  </property>
  <property fmtid="{D5CDD505-2E9C-101B-9397-08002B2CF9AE}" pid="291" name="TemplateType">
    <vt:lpwstr>Octoiur</vt:lpwstr>
  </property>
  <property fmtid="{D5CDD505-2E9C-101B-9397-08002B2CF9AE}" pid="292" name="Version">
    <vt:lpwstr>2</vt:lpwstr>
  </property>
  <property fmtid="{D5CDD505-2E9C-101B-9397-08002B2CF9AE}" pid="293" name="VertragsbeilageDelimiter">
    <vt:lpwstr>, </vt:lpwstr>
  </property>
  <property fmtid="{D5CDD505-2E9C-101B-9397-08002B2CF9AE}" pid="294" name="VertragsbeilageHideText">
    <vt:lpwstr>false</vt:lpwstr>
  </property>
  <property fmtid="{D5CDD505-2E9C-101B-9397-08002B2CF9AE}" pid="295" name="VertragsbeilageSetTextFirst">
    <vt:lpwstr>false</vt:lpwstr>
  </property>
  <property fmtid="{D5CDD505-2E9C-101B-9397-08002B2CF9AE}" pid="296" name="_dlc_DocIdItemGuid">
    <vt:lpwstr>4e38d266-2ee0-4501-81ab-9b9de465bf90</vt:lpwstr>
  </property>
</Properties>
</file>