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single"/>
        </w:rPr>
      </w:pPr>
      <w:r>
        <w:rPr>
          <w:rFonts w:ascii="Arial" w:hAnsi="Arial"/>
          <w:b w:val="false"/>
          <w:bCs w:val="false"/>
          <w:sz w:val="32"/>
          <w:szCs w:val="32"/>
          <w:u w:val="single"/>
        </w:rPr>
        <w:t>Office Jobs Priority List</w:t>
      </w:r>
    </w:p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32"/>
          <w:szCs w:val="32"/>
          <w:u w:val="none"/>
        </w:rPr>
        <w:t>The items in bold should be check constantly.</w:t>
      </w:r>
    </w:p>
    <w:p>
      <w:pPr>
        <w:pStyle w:val="Normal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Telephones – All calls Viamed, VST, Vandagraph and HumanMed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Sales Order Processing for Viamed, VST and Vandagraph, HumanMed – Including ORD’S, Quotes, Profomas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Order checking 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Repairs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Ebay including responding to messages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Sale or Return and Sample Processing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sz w:val="32"/>
          <w:szCs w:val="32"/>
        </w:rPr>
        <w:t>Emails – own and Inbox, other staff members when off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sz w:val="32"/>
          <w:szCs w:val="32"/>
        </w:rPr>
        <w:t>Website questions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Returning calls – must be done by end of working day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/>
          <w:bCs/>
          <w:sz w:val="32"/>
          <w:szCs w:val="32"/>
        </w:rPr>
        <w:t xml:space="preserve">Active list </w:t>
      </w:r>
      <w:r>
        <w:rPr>
          <w:rFonts w:eastAsia="SimSun" w:cs="Mangal" w:ascii="Arial" w:hAnsi="Arial"/>
          <w:b/>
          <w:bCs/>
          <w:color w:val="auto"/>
          <w:kern w:val="2"/>
          <w:sz w:val="32"/>
          <w:szCs w:val="32"/>
          <w:lang w:val="en-GB" w:eastAsia="zh-CN" w:bidi="hi-IN"/>
        </w:rPr>
        <w:t>Checking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Delivery Notifications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Issues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Complaints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Emailing of Delivery Notifications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Purchase order log and chasing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Emailing invoices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Proforma chasing – when auto-issue is received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Quotes Chasing – when auto-issue is received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UPS Emails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Service Visit – Arranging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Review Bank / Inwards Payments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Office jobs list (unless urgent / date dependant)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B2B Router, Cardia, Circle 360 and Tradeshift – Orders and Invoicing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Chasing of Stock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 xml:space="preserve">Cleaning </w:t>
      </w:r>
      <w:r>
        <w:rPr>
          <w:rFonts w:ascii="Arial" w:hAnsi="Arial"/>
          <w:b w:val="false"/>
          <w:bCs w:val="false"/>
          <w:sz w:val="32"/>
          <w:szCs w:val="32"/>
        </w:rPr>
        <w:t>work area /</w:t>
      </w:r>
      <w:r>
        <w:rPr>
          <w:rFonts w:ascii="Arial" w:hAnsi="Arial"/>
          <w:b w:val="false"/>
          <w:bCs w:val="false"/>
          <w:sz w:val="32"/>
          <w:szCs w:val="32"/>
        </w:rPr>
        <w:t xml:space="preserve"> </w:t>
      </w:r>
      <w:r>
        <w:rPr>
          <w:rFonts w:ascii="Arial" w:hAnsi="Arial"/>
          <w:b w:val="false"/>
          <w:bCs w:val="false"/>
          <w:sz w:val="32"/>
          <w:szCs w:val="32"/>
        </w:rPr>
        <w:t xml:space="preserve">emptying </w:t>
      </w:r>
      <w:r>
        <w:rPr>
          <w:rFonts w:ascii="Arial" w:hAnsi="Arial"/>
          <w:b w:val="false"/>
          <w:bCs w:val="false"/>
          <w:sz w:val="32"/>
          <w:szCs w:val="32"/>
        </w:rPr>
        <w:t xml:space="preserve">bins 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Required Reading / Training (unless date/time specific)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 xml:space="preserve">Resolve any Errors on returned ORD’s and other departments. 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b w:val="false"/>
          <w:bCs w:val="false"/>
          <w:sz w:val="32"/>
          <w:szCs w:val="32"/>
        </w:rPr>
        <w:t>Sending copy Invoices and Statements of Accounts</w:t>
      </w:r>
    </w:p>
    <w:sectPr>
      <w:headerReference w:type="default" r:id="rId2"/>
      <w:type w:val="nextPage"/>
      <w:pgSz w:w="11906" w:h="16838"/>
      <w:pgMar w:left="794" w:right="794" w:header="567" w:top="1126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/>
      </w:rPr>
    </w:pPr>
    <w:r>
      <w:rPr>
        <w:rFonts w:ascii="Arial" w:hAnsi="Arial"/>
      </w:rPr>
      <w:t>VM3COP03.04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LibreOffice/6.3.3.2$Windows_X86_64 LibreOffice_project/a64200df03143b798afd1ec74a12ab50359878ed</Application>
  <Pages>1</Pages>
  <Words>187</Words>
  <Characters>969</Characters>
  <CharactersWithSpaces>1108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2015-09-03T11:34:40Z</dcterms:created>
  <dc:creator/>
  <dc:description/>
  <dc:language>en-GB</dc:language>
  <cp:lastModifiedBy/>
  <cp:lastPrinted>2016-07-21T12:19:16Z</cp:lastPrinted>
  <dcterms:modified xsi:type="dcterms:W3CDTF">2022-04-07T17:39:17Z</dcterms:modified>
  <cp:revision>5</cp:revision>
  <dc:subject/>
  <dc:title/>
</cp:coreProperties>
</file>