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WEEE Regulations and Compliance – Written Methodology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Index</w:t>
      </w:r>
    </w:p>
    <w:p>
      <w:pPr>
        <w:pStyle w:val="Normal"/>
        <w:rPr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What type of Producer is </w:t>
      </w:r>
      <w:r>
        <w:rPr>
          <w:b/>
          <w:bCs/>
          <w:sz w:val="22"/>
          <w:szCs w:val="22"/>
        </w:rPr>
        <w:t>Viamed</w:t>
      </w:r>
      <w:r>
        <w:rPr>
          <w:b/>
          <w:bCs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Compliance Scheme Details</w:t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Company Points of Contact</w:t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Collecting and Calculating Data Guide </w:t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Approved Persons (who can sign off submission data)</w:t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 submission deadlines</w:t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Length of time compliance documentation must be kept</w:t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Location of all WEEE Compliance data</w:t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Batteries</w:t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Packaging</w:t>
      </w:r>
    </w:p>
    <w:p>
      <w:pPr>
        <w:pStyle w:val="ListParagrap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ListParagrap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ListParagrap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ListParagraph"/>
        <w:numPr>
          <w:ilvl w:val="0"/>
          <w:numId w:val="2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What type of Producer is </w:t>
      </w:r>
      <w:r>
        <w:rPr>
          <w:b/>
          <w:bCs/>
          <w:sz w:val="22"/>
          <w:szCs w:val="22"/>
        </w:rPr>
        <w:t>Viamed</w:t>
      </w: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>Viamed</w:t>
      </w:r>
      <w:r>
        <w:rPr>
          <w:sz w:val="22"/>
          <w:szCs w:val="22"/>
        </w:rPr>
        <w:t xml:space="preserve"> is currently classified as a B2B  (</w:t>
      </w:r>
      <w:r>
        <w:rPr>
          <w:b/>
          <w:bCs/>
          <w:sz w:val="22"/>
          <w:szCs w:val="22"/>
        </w:rPr>
        <w:t>Please select as appropriate)</w:t>
      </w:r>
      <w:r>
        <w:rPr>
          <w:sz w:val="22"/>
          <w:szCs w:val="22"/>
        </w:rPr>
        <w:t xml:space="preserve"> WEEE Producer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Compliance Scheme Details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 xml:space="preserve">WeeeCare Account No:  </w:t>
      </w:r>
      <w:r>
        <w:rPr>
          <w:sz w:val="22"/>
          <w:szCs w:val="22"/>
        </w:rPr>
        <w:t>WEE/DD1952ZQ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 xml:space="preserve">Key Contacts: 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 xml:space="preserve">Alison Drurey – </w:t>
      </w:r>
      <w:hyperlink r:id="rId2">
        <w:r>
          <w:rPr>
            <w:rStyle w:val="InternetLink"/>
            <w:sz w:val="22"/>
            <w:szCs w:val="22"/>
          </w:rPr>
          <w:t>Alison.drurey@weeecare.com</w:t>
        </w:r>
      </w:hyperlink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 xml:space="preserve">Vicki Kitching – </w:t>
      </w:r>
      <w:hyperlink r:id="rId3">
        <w:r>
          <w:rPr>
            <w:rStyle w:val="InternetLink"/>
            <w:sz w:val="22"/>
            <w:szCs w:val="22"/>
          </w:rPr>
          <w:t>Vicki.kitching@weeecare.com</w:t>
        </w:r>
      </w:hyperlink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 xml:space="preserve">Danielle Burton- </w:t>
      </w:r>
      <w:hyperlink r:id="rId4">
        <w:r>
          <w:rPr>
            <w:rStyle w:val="InternetLink"/>
            <w:sz w:val="22"/>
            <w:szCs w:val="22"/>
          </w:rPr>
          <w:t>Danielle.burton@wastecare.co.uk</w:t>
        </w:r>
      </w:hyperlink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Martin Wadsworth – </w:t>
      </w:r>
      <w:hyperlink r:id="rId5">
        <w:r>
          <w:rPr>
            <w:rStyle w:val="InternetLink"/>
            <w:sz w:val="22"/>
            <w:szCs w:val="22"/>
          </w:rPr>
          <w:t>Martin.wadsworth@wastecare.co.uk</w:t>
        </w:r>
      </w:hyperlink>
      <w:r>
        <w:rPr>
          <w:sz w:val="22"/>
          <w:szCs w:val="22"/>
        </w:rPr>
        <w:t xml:space="preserve"> (Battery Back)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Company Points of Contact</w:t>
        <w:br/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 xml:space="preserve">Primary: </w:t>
      </w:r>
      <w:r>
        <w:rPr>
          <w:sz w:val="22"/>
          <w:szCs w:val="22"/>
        </w:rPr>
        <w:t>Derek Lamb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t: </w:t>
      </w:r>
      <w:r>
        <w:rPr>
          <w:sz w:val="22"/>
          <w:szCs w:val="22"/>
        </w:rPr>
        <w:t>01535 634542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e: </w:t>
      </w:r>
      <w:r>
        <w:rPr>
          <w:sz w:val="22"/>
          <w:szCs w:val="22"/>
        </w:rPr>
        <w:t>derek.lamb@viamed.co.uk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 xml:space="preserve">Secondary:  </w:t>
      </w:r>
      <w:r>
        <w:rPr>
          <w:sz w:val="22"/>
          <w:szCs w:val="22"/>
        </w:rPr>
        <w:t>Helen</w:t>
      </w:r>
      <w:r>
        <w:rPr>
          <w:sz w:val="22"/>
          <w:szCs w:val="22"/>
        </w:rPr>
        <w:t xml:space="preserve"> Lamb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t: </w:t>
      </w:r>
      <w:r>
        <w:rPr>
          <w:sz w:val="22"/>
          <w:szCs w:val="22"/>
        </w:rPr>
        <w:t>01535 634542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e: </w:t>
      </w:r>
      <w:r>
        <w:rPr>
          <w:sz w:val="22"/>
          <w:szCs w:val="22"/>
        </w:rPr>
        <w:t>helen</w:t>
      </w:r>
      <w:r>
        <w:rPr>
          <w:sz w:val="22"/>
          <w:szCs w:val="22"/>
        </w:rPr>
        <w:t>.lamb@viamed.co.uk</w:t>
      </w:r>
      <w:r>
        <w:rPr>
          <w:sz w:val="22"/>
          <w:szCs w:val="22"/>
        </w:rPr>
        <w:br/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 xml:space="preserve">Director:  </w:t>
      </w:r>
      <w:r>
        <w:rPr>
          <w:sz w:val="22"/>
          <w:szCs w:val="22"/>
        </w:rPr>
        <w:t>Derek Lamb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t: </w:t>
      </w:r>
      <w:r>
        <w:rPr>
          <w:sz w:val="22"/>
          <w:szCs w:val="22"/>
        </w:rPr>
        <w:t>01535 634542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e: </w:t>
      </w:r>
      <w:r>
        <w:rPr>
          <w:sz w:val="22"/>
          <w:szCs w:val="22"/>
        </w:rPr>
        <w:t>derek.lamb@viamed.co.uk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Collecting and Calculating Data Guide 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>Below is a step guide on how we obtain and record EEE data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0" w:hanging="0"/>
        <w:rPr>
          <w:sz w:val="22"/>
          <w:szCs w:val="22"/>
        </w:rPr>
      </w:pPr>
      <w:r>
        <w:rPr>
          <w:b/>
          <w:bCs/>
          <w:sz w:val="22"/>
          <w:szCs w:val="22"/>
        </w:rPr>
        <w:t>1. Rolling Task to Calculate WEE Weights each 6 Months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Process ID xxx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Task includes filling in databses of Wee weights for products with no Weee Weight Entered before report data is calculated</w:t>
      </w:r>
    </w:p>
    <w:p>
      <w:pPr>
        <w:pStyle w:val="ListParagrap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ListParagraph"/>
        <w:numPr>
          <w:ilvl w:val="0"/>
          <w:numId w:val="2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Appropriate Persons (who can sign off submission data, must be listed on Companies House)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Approved Person #1 for EEE data submissions is: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>Contact details: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>Derek Lamb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t: </w:t>
      </w:r>
      <w:r>
        <w:rPr>
          <w:sz w:val="22"/>
          <w:szCs w:val="22"/>
        </w:rPr>
        <w:t>01535 634542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e: </w:t>
      </w:r>
      <w:r>
        <w:rPr>
          <w:sz w:val="22"/>
          <w:szCs w:val="22"/>
        </w:rPr>
        <w:t>derek.lamb@viamed.co.uk</w:t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 submission deadlines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Submission deadlines for EEE data are listed below. Reminder emails are sent from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WeeeCare to the primary contact, in advance of each quarterly deadline.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submissions are annually by the 14</w:t>
      </w:r>
      <w:r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January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Length of time WEEE Compliance documentation must be kept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All WEEE compliance raw data and submissions </w:t>
      </w:r>
      <w:r>
        <w:rPr>
          <w:b/>
          <w:bCs/>
          <w:sz w:val="22"/>
          <w:szCs w:val="22"/>
          <w:u w:val="single"/>
        </w:rPr>
        <w:t>must</w:t>
      </w:r>
      <w:r>
        <w:rPr>
          <w:sz w:val="22"/>
          <w:szCs w:val="22"/>
        </w:rPr>
        <w:t xml:space="preserve"> be kept for a minimum of 4 years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Intrastats Stores data more 11 Years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Location of WEEE Compliance data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All WEEE compliance data is stored in the following file location:</w:t>
      </w:r>
    </w:p>
    <w:p>
      <w:pPr>
        <w:pStyle w:val="Normal"/>
        <w:ind w:left="720" w:hanging="0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Digital System Intrastats, </w:t>
      </w:r>
    </w:p>
    <w:p>
      <w:pPr>
        <w:pStyle w:val="Normal"/>
        <w:ind w:left="720" w:hanging="0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ind w:left="720" w:hanging="0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/>
          <w:b/>
          <w:b/>
          <w:bCs/>
          <w:color w:val="000000" w:themeColor="text1"/>
          <w:sz w:val="22"/>
          <w:szCs w:val="22"/>
        </w:rPr>
      </w:pPr>
      <w:r>
        <w:rPr>
          <w:rFonts w:eastAsia="Times New Roman" w:cs="Times New Roman"/>
          <w:b/>
          <w:bCs/>
          <w:color w:val="000000" w:themeColor="text1"/>
          <w:sz w:val="22"/>
          <w:szCs w:val="22"/>
        </w:rPr>
        <w:t>Batteries</w:t>
      </w:r>
    </w:p>
    <w:p>
      <w:pPr>
        <w:pStyle w:val="ListParagraph"/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</w:pPr>
      <w:r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  <w:t xml:space="preserve">N.B. If </w:t>
      </w:r>
      <w:r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  <w:t>Viamed</w:t>
      </w:r>
      <w:r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  <w:t xml:space="preserve"> imports (or manufactures) any batteries and supplies them to customers in the UK with (or without) any equipment/EEE [currently not the case], then we will have to notify WasteCare and report on these batteries separately.</w:t>
      </w:r>
    </w:p>
    <w:p>
      <w:pPr>
        <w:pStyle w:val="ListParagraph"/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</w:pPr>
      <w:r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</w:r>
    </w:p>
    <w:p>
      <w:pPr>
        <w:pStyle w:val="ListParagraph"/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</w:pPr>
      <w:r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</w:r>
    </w:p>
    <w:p>
      <w:pPr>
        <w:pStyle w:val="ListParagraph"/>
        <w:numPr>
          <w:ilvl w:val="0"/>
          <w:numId w:val="2"/>
        </w:numPr>
        <w:rPr>
          <w:rFonts w:eastAsia="Times New Roman" w:cs="Times New Roman"/>
          <w:b/>
          <w:b/>
          <w:bCs/>
          <w:color w:val="000000" w:themeColor="text1"/>
          <w:sz w:val="22"/>
          <w:szCs w:val="22"/>
        </w:rPr>
      </w:pPr>
      <w:r>
        <w:rPr>
          <w:rFonts w:eastAsia="Times New Roman" w:cs="Times New Roman"/>
          <w:b/>
          <w:bCs/>
          <w:color w:val="000000" w:themeColor="text1"/>
          <w:sz w:val="22"/>
          <w:szCs w:val="22"/>
        </w:rPr>
        <w:t>Packaging</w:t>
      </w:r>
    </w:p>
    <w:p>
      <w:pPr>
        <w:pStyle w:val="Normal"/>
        <w:ind w:left="720" w:hanging="0"/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</w:pPr>
      <w:r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  <w:t xml:space="preserve">N.B. If </w:t>
      </w:r>
      <w:r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  <w:t>Vaimed</w:t>
      </w:r>
      <w:r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  <w:t xml:space="preserve"> reports more than 50 tonnes of product/EEE to WeeeCare, we must also assess the total amount of packaging placed on the UK market in the previous calendar year. This is because if </w:t>
      </w:r>
      <w:r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  <w:t xml:space="preserve">Viamed </w:t>
      </w:r>
      <w:r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  <w:t>has an annual turnover of more than £2million [currently the case], and also handles a total of 50 tonnes (or more) of packaging on the UK market, then we must report our packaging as well to WasteCare.</w:t>
      </w:r>
    </w:p>
    <w:p>
      <w:pPr>
        <w:pStyle w:val="Normal"/>
        <w:ind w:left="720" w:hanging="0"/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</w:pPr>
      <w:r>
        <w:rPr/>
      </w:r>
    </w:p>
    <w:p>
      <w:pPr>
        <w:pStyle w:val="ListParagraph"/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</w:pPr>
      <w:r>
        <w:rPr>
          <w:rFonts w:eastAsia="Times New Roman" w:cs="Times New Roman"/>
          <w:color w:val="000000" w:themeColor="text1"/>
          <w:sz w:val="22"/>
          <w:szCs w:val="22"/>
          <w:shd w:fill="FFFFFF" w:val="clear"/>
        </w:rPr>
      </w:r>
    </w:p>
    <w:p>
      <w:pPr>
        <w:pStyle w:val="ListParagrap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6ac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728c9"/>
    <w:rPr>
      <w:rFonts w:ascii="Times New Roman" w:hAnsi="Times New Roman" w:cs="Times New Roman"/>
      <w:sz w:val="18"/>
      <w:szCs w:val="18"/>
    </w:rPr>
  </w:style>
  <w:style w:type="character" w:styleId="InternetLink">
    <w:name w:val="Hyperlink"/>
    <w:basedOn w:val="DefaultParagraphFont"/>
    <w:uiPriority w:val="99"/>
    <w:unhideWhenUsed/>
    <w:rsid w:val="00672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728c9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26ac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28c9"/>
    <w:pPr/>
    <w:rPr>
      <w:rFonts w:ascii="Times New Roman" w:hAnsi="Times New Roman" w:cs="Times New Roman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728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ison.drurey@weeecare.com" TargetMode="External"/><Relationship Id="rId3" Type="http://schemas.openxmlformats.org/officeDocument/2006/relationships/hyperlink" Target="mailto:Vicki.kitching@weeecare.com" TargetMode="External"/><Relationship Id="rId4" Type="http://schemas.openxmlformats.org/officeDocument/2006/relationships/hyperlink" Target="mailto:Danielle.burton@wastecare.co.uk" TargetMode="External"/><Relationship Id="rId5" Type="http://schemas.openxmlformats.org/officeDocument/2006/relationships/hyperlink" Target="mailto:Martin.wadsworth@wastecare.co.uk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LibreOffice/7.1.2.2$Windows_X86_64 LibreOffice_project/8a45595d069ef5570103caea1b71cc9d82b2aae4</Application>
  <AppVersion>15.0000</AppVersion>
  <Pages>3</Pages>
  <Words>421</Words>
  <Characters>2312</Characters>
  <CharactersWithSpaces>2836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2021-07-29T07:47:00Z</dcterms:created>
  <dc:creator>Danielle Burton</dc:creator>
  <dc:description/>
  <dc:language>en-GB</dc:language>
  <cp:lastModifiedBy/>
  <dcterms:modified xsi:type="dcterms:W3CDTF">2021-10-22T13:35:51Z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