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FE973" w14:textId="77777777" w:rsidR="00B649BD" w:rsidRPr="00AA286E" w:rsidRDefault="00B649BD">
      <w:pPr>
        <w:rPr>
          <w:rFonts w:ascii="Arial" w:hAnsi="Arial" w:cs="Arial"/>
          <w:sz w:val="24"/>
          <w:szCs w:val="24"/>
        </w:rPr>
      </w:pPr>
    </w:p>
    <w:p w14:paraId="66ABA1F7" w14:textId="21BD7E3C" w:rsidR="00F17A63" w:rsidRPr="00AA286E" w:rsidRDefault="00F17A63">
      <w:pPr>
        <w:rPr>
          <w:rFonts w:ascii="Arial" w:hAnsi="Arial" w:cs="Arial"/>
          <w:sz w:val="24"/>
          <w:szCs w:val="24"/>
        </w:rPr>
      </w:pPr>
      <w:r w:rsidRPr="00AA286E">
        <w:rPr>
          <w:rFonts w:ascii="Arial" w:hAnsi="Arial" w:cs="Arial"/>
          <w:sz w:val="24"/>
          <w:szCs w:val="24"/>
        </w:rPr>
        <w:t xml:space="preserve">Due to </w:t>
      </w:r>
      <w:r w:rsidR="00AA286E" w:rsidRPr="00AA286E">
        <w:rPr>
          <w:rFonts w:ascii="Arial" w:hAnsi="Arial" w:cs="Arial"/>
          <w:sz w:val="24"/>
          <w:szCs w:val="24"/>
        </w:rPr>
        <w:t>standards</w:t>
      </w:r>
      <w:r w:rsidRPr="00AA286E">
        <w:rPr>
          <w:rFonts w:ascii="Arial" w:hAnsi="Arial" w:cs="Arial"/>
          <w:sz w:val="24"/>
          <w:szCs w:val="24"/>
        </w:rPr>
        <w:t xml:space="preserve"> </w:t>
      </w:r>
      <w:r w:rsidR="00AA286E" w:rsidRPr="00AA286E">
        <w:rPr>
          <w:rFonts w:ascii="Arial" w:hAnsi="Arial" w:cs="Arial"/>
          <w:sz w:val="24"/>
          <w:szCs w:val="24"/>
        </w:rPr>
        <w:t>requirements</w:t>
      </w:r>
      <w:r w:rsidRPr="00AA286E">
        <w:rPr>
          <w:rFonts w:ascii="Arial" w:hAnsi="Arial" w:cs="Arial"/>
          <w:sz w:val="24"/>
          <w:szCs w:val="24"/>
        </w:rPr>
        <w:t xml:space="preserve"> </w:t>
      </w:r>
      <w:r w:rsidR="00AA286E" w:rsidRPr="00AA286E">
        <w:rPr>
          <w:rFonts w:ascii="Arial" w:hAnsi="Arial" w:cs="Arial"/>
          <w:sz w:val="24"/>
          <w:szCs w:val="24"/>
        </w:rPr>
        <w:t xml:space="preserve">and changes, </w:t>
      </w:r>
      <w:r w:rsidRPr="00AA286E">
        <w:rPr>
          <w:rFonts w:ascii="Arial" w:hAnsi="Arial" w:cs="Arial"/>
          <w:sz w:val="24"/>
          <w:szCs w:val="24"/>
        </w:rPr>
        <w:t xml:space="preserve">the </w:t>
      </w:r>
      <w:r w:rsidR="00AA286E" w:rsidRPr="00AA286E">
        <w:rPr>
          <w:rFonts w:ascii="Arial" w:hAnsi="Arial" w:cs="Arial"/>
          <w:sz w:val="24"/>
          <w:szCs w:val="24"/>
        </w:rPr>
        <w:t>power</w:t>
      </w:r>
      <w:r w:rsidRPr="00AA286E">
        <w:rPr>
          <w:rFonts w:ascii="Arial" w:hAnsi="Arial" w:cs="Arial"/>
          <w:sz w:val="24"/>
          <w:szCs w:val="24"/>
        </w:rPr>
        <w:t xml:space="preserve"> </w:t>
      </w:r>
      <w:r w:rsidR="00AA286E" w:rsidRPr="00AA286E">
        <w:rPr>
          <w:rFonts w:ascii="Arial" w:hAnsi="Arial" w:cs="Arial"/>
          <w:sz w:val="24"/>
          <w:szCs w:val="24"/>
        </w:rPr>
        <w:t>supply</w:t>
      </w:r>
      <w:r w:rsidRPr="00AA286E">
        <w:rPr>
          <w:rFonts w:ascii="Arial" w:hAnsi="Arial" w:cs="Arial"/>
          <w:sz w:val="24"/>
          <w:szCs w:val="24"/>
        </w:rPr>
        <w:t xml:space="preserve"> </w:t>
      </w:r>
      <w:r w:rsidR="00AA286E" w:rsidRPr="00AA286E">
        <w:rPr>
          <w:rFonts w:ascii="Arial" w:hAnsi="Arial" w:cs="Arial"/>
          <w:sz w:val="24"/>
          <w:szCs w:val="24"/>
        </w:rPr>
        <w:t>with</w:t>
      </w:r>
      <w:r w:rsidRPr="00AA286E">
        <w:rPr>
          <w:rFonts w:ascii="Arial" w:hAnsi="Arial" w:cs="Arial"/>
          <w:sz w:val="24"/>
          <w:szCs w:val="24"/>
        </w:rPr>
        <w:t xml:space="preserve"> the original style connector </w:t>
      </w:r>
      <w:r w:rsidR="00AA286E" w:rsidRPr="00AA286E">
        <w:rPr>
          <w:rFonts w:ascii="Arial" w:hAnsi="Arial" w:cs="Arial"/>
          <w:sz w:val="24"/>
          <w:szCs w:val="24"/>
        </w:rPr>
        <w:t>is not</w:t>
      </w:r>
      <w:r w:rsidRPr="00AA286E">
        <w:rPr>
          <w:rFonts w:ascii="Arial" w:hAnsi="Arial" w:cs="Arial"/>
          <w:sz w:val="24"/>
          <w:szCs w:val="24"/>
        </w:rPr>
        <w:t xml:space="preserve"> available for use any more</w:t>
      </w:r>
      <w:r w:rsidR="00AA286E" w:rsidRPr="00AA286E">
        <w:rPr>
          <w:rFonts w:ascii="Arial" w:hAnsi="Arial" w:cs="Arial"/>
          <w:sz w:val="24"/>
          <w:szCs w:val="24"/>
        </w:rPr>
        <w:t>. Therefore,</w:t>
      </w:r>
      <w:r w:rsidRPr="00AA286E">
        <w:rPr>
          <w:rFonts w:ascii="Arial" w:hAnsi="Arial" w:cs="Arial"/>
          <w:sz w:val="24"/>
          <w:szCs w:val="24"/>
        </w:rPr>
        <w:t xml:space="preserve"> the only option is to </w:t>
      </w:r>
      <w:r w:rsidR="00AA286E" w:rsidRPr="00AA286E">
        <w:rPr>
          <w:rFonts w:ascii="Arial" w:hAnsi="Arial" w:cs="Arial"/>
          <w:sz w:val="24"/>
          <w:szCs w:val="24"/>
        </w:rPr>
        <w:t>upgrade</w:t>
      </w:r>
      <w:r w:rsidR="00AA286E">
        <w:rPr>
          <w:rFonts w:ascii="Arial" w:hAnsi="Arial" w:cs="Arial"/>
          <w:sz w:val="24"/>
          <w:szCs w:val="24"/>
        </w:rPr>
        <w:t xml:space="preserve"> </w:t>
      </w:r>
      <w:r w:rsidRPr="00AA286E">
        <w:rPr>
          <w:rFonts w:ascii="Arial" w:hAnsi="Arial" w:cs="Arial"/>
          <w:sz w:val="24"/>
          <w:szCs w:val="24"/>
        </w:rPr>
        <w:t xml:space="preserve">to the new approved style </w:t>
      </w:r>
      <w:r w:rsidR="00AA286E" w:rsidRPr="00AA286E">
        <w:rPr>
          <w:rFonts w:ascii="Arial" w:hAnsi="Arial" w:cs="Arial"/>
          <w:sz w:val="24"/>
          <w:szCs w:val="24"/>
        </w:rPr>
        <w:t>connector</w:t>
      </w:r>
      <w:r w:rsidRPr="00AA286E">
        <w:rPr>
          <w:rFonts w:ascii="Arial" w:hAnsi="Arial" w:cs="Arial"/>
          <w:sz w:val="24"/>
          <w:szCs w:val="24"/>
        </w:rPr>
        <w:t xml:space="preserve"> combination (connector on the </w:t>
      </w:r>
      <w:r w:rsidR="00AA286E" w:rsidRPr="00AA286E">
        <w:rPr>
          <w:rFonts w:ascii="Arial" w:hAnsi="Arial" w:cs="Arial"/>
          <w:sz w:val="24"/>
          <w:szCs w:val="24"/>
        </w:rPr>
        <w:t xml:space="preserve">power supply cable </w:t>
      </w:r>
      <w:r w:rsidRPr="00AA286E">
        <w:rPr>
          <w:rFonts w:ascii="Arial" w:hAnsi="Arial" w:cs="Arial"/>
          <w:sz w:val="24"/>
          <w:szCs w:val="24"/>
        </w:rPr>
        <w:t xml:space="preserve">and </w:t>
      </w:r>
      <w:r w:rsidR="00AA286E" w:rsidRPr="00AA286E">
        <w:rPr>
          <w:rFonts w:ascii="Arial" w:hAnsi="Arial" w:cs="Arial"/>
          <w:sz w:val="24"/>
          <w:szCs w:val="24"/>
        </w:rPr>
        <w:t xml:space="preserve">the </w:t>
      </w:r>
      <w:r w:rsidRPr="00AA286E">
        <w:rPr>
          <w:rFonts w:ascii="Arial" w:hAnsi="Arial" w:cs="Arial"/>
          <w:sz w:val="24"/>
          <w:szCs w:val="24"/>
        </w:rPr>
        <w:t>socket on the lower casing assembly.</w:t>
      </w:r>
    </w:p>
    <w:p w14:paraId="118DB8C6" w14:textId="77777777" w:rsidR="00AA286E" w:rsidRDefault="00AA286E">
      <w:pPr>
        <w:rPr>
          <w:rFonts w:ascii="Arial" w:hAnsi="Arial" w:cs="Arial"/>
          <w:sz w:val="24"/>
          <w:szCs w:val="24"/>
        </w:rPr>
      </w:pPr>
    </w:p>
    <w:p w14:paraId="6C2FB1DC" w14:textId="7DA0814F" w:rsidR="00AA286E" w:rsidRPr="00AA286E" w:rsidRDefault="00AA286E">
      <w:pPr>
        <w:rPr>
          <w:rFonts w:ascii="Arial" w:hAnsi="Arial" w:cs="Arial"/>
          <w:b/>
          <w:sz w:val="24"/>
          <w:szCs w:val="24"/>
        </w:rPr>
      </w:pPr>
      <w:r w:rsidRPr="00AA286E">
        <w:rPr>
          <w:rFonts w:ascii="Arial" w:hAnsi="Arial" w:cs="Arial"/>
          <w:b/>
          <w:sz w:val="24"/>
          <w:szCs w:val="24"/>
        </w:rPr>
        <w:t>Option 1</w:t>
      </w:r>
    </w:p>
    <w:p w14:paraId="61715B9E" w14:textId="453C1461" w:rsidR="00F17A63" w:rsidRPr="00AA286E" w:rsidRDefault="00F17A63">
      <w:pPr>
        <w:rPr>
          <w:rFonts w:ascii="Arial" w:hAnsi="Arial" w:cs="Arial"/>
          <w:sz w:val="24"/>
          <w:szCs w:val="24"/>
        </w:rPr>
      </w:pPr>
      <w:r w:rsidRPr="00AA286E">
        <w:rPr>
          <w:rFonts w:ascii="Arial" w:hAnsi="Arial" w:cs="Arial"/>
          <w:sz w:val="24"/>
          <w:szCs w:val="24"/>
        </w:rPr>
        <w:t>If the actual exte</w:t>
      </w:r>
      <w:r w:rsidR="00AA286E">
        <w:rPr>
          <w:rFonts w:ascii="Arial" w:hAnsi="Arial" w:cs="Arial"/>
          <w:sz w:val="24"/>
          <w:szCs w:val="24"/>
        </w:rPr>
        <w:t>rnal power supply</w:t>
      </w:r>
      <w:r w:rsidRPr="00AA286E">
        <w:rPr>
          <w:rFonts w:ascii="Arial" w:hAnsi="Arial" w:cs="Arial"/>
          <w:sz w:val="24"/>
          <w:szCs w:val="24"/>
        </w:rPr>
        <w:t xml:space="preserve"> is faulty, then parts and labour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51"/>
        <w:gridCol w:w="2547"/>
        <w:gridCol w:w="1708"/>
        <w:gridCol w:w="1708"/>
      </w:tblGrid>
      <w:tr w:rsidR="00F17A63" w:rsidRPr="00AA286E" w14:paraId="68A96EAC" w14:textId="3FA51A04" w:rsidTr="00AA286E">
        <w:tc>
          <w:tcPr>
            <w:tcW w:w="704" w:type="dxa"/>
          </w:tcPr>
          <w:p w14:paraId="54D4A2E6" w14:textId="68214DB4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Qty</w:t>
            </w:r>
          </w:p>
        </w:tc>
        <w:tc>
          <w:tcPr>
            <w:tcW w:w="1151" w:type="dxa"/>
          </w:tcPr>
          <w:p w14:paraId="7C7A3DF9" w14:textId="60AEE40E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P/N</w:t>
            </w:r>
          </w:p>
        </w:tc>
        <w:tc>
          <w:tcPr>
            <w:tcW w:w="2547" w:type="dxa"/>
          </w:tcPr>
          <w:p w14:paraId="78A8734A" w14:textId="306FDBFB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708" w:type="dxa"/>
          </w:tcPr>
          <w:p w14:paraId="715BC535" w14:textId="4E56FF6E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Unit Price</w:t>
            </w:r>
          </w:p>
        </w:tc>
        <w:tc>
          <w:tcPr>
            <w:tcW w:w="1708" w:type="dxa"/>
          </w:tcPr>
          <w:p w14:paraId="3BE3CF1D" w14:textId="7A91F13B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F17A63" w:rsidRPr="00AA286E" w14:paraId="7BC97F63" w14:textId="2D8D6633" w:rsidTr="00AA286E">
        <w:tc>
          <w:tcPr>
            <w:tcW w:w="704" w:type="dxa"/>
          </w:tcPr>
          <w:p w14:paraId="4707B665" w14:textId="77777777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  <w:tc>
          <w:tcPr>
            <w:tcW w:w="1151" w:type="dxa"/>
          </w:tcPr>
          <w:p w14:paraId="0DED087A" w14:textId="1D5BF7D0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4440000</w:t>
            </w:r>
          </w:p>
        </w:tc>
        <w:tc>
          <w:tcPr>
            <w:tcW w:w="2547" w:type="dxa"/>
          </w:tcPr>
          <w:p w14:paraId="596AE43F" w14:textId="6BC66B11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Labour</w:t>
            </w:r>
          </w:p>
        </w:tc>
        <w:tc>
          <w:tcPr>
            <w:tcW w:w="1708" w:type="dxa"/>
          </w:tcPr>
          <w:p w14:paraId="74C31A01" w14:textId="55E9A572" w:rsidR="00F17A63" w:rsidRPr="00AA286E" w:rsidRDefault="00F17A63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£90.00</w:t>
            </w:r>
          </w:p>
        </w:tc>
        <w:tc>
          <w:tcPr>
            <w:tcW w:w="1708" w:type="dxa"/>
          </w:tcPr>
          <w:p w14:paraId="24968420" w14:textId="1AA93FFF" w:rsidR="00F17A63" w:rsidRPr="00AA286E" w:rsidRDefault="00F17A63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£22.50</w:t>
            </w:r>
          </w:p>
        </w:tc>
      </w:tr>
      <w:tr w:rsidR="00AA286E" w:rsidRPr="00AA286E" w14:paraId="78927023" w14:textId="3D57920C" w:rsidTr="00AA286E">
        <w:tc>
          <w:tcPr>
            <w:tcW w:w="704" w:type="dxa"/>
          </w:tcPr>
          <w:p w14:paraId="7C28EFDF" w14:textId="5845BDB9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14:paraId="49874867" w14:textId="3383F9D8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4400052</w:t>
            </w:r>
          </w:p>
        </w:tc>
        <w:tc>
          <w:tcPr>
            <w:tcW w:w="2547" w:type="dxa"/>
          </w:tcPr>
          <w:p w14:paraId="65F18423" w14:textId="33E26686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Lower Casing Assembly (with upgraded power socket and battery PCB)</w:t>
            </w:r>
          </w:p>
        </w:tc>
        <w:tc>
          <w:tcPr>
            <w:tcW w:w="1708" w:type="dxa"/>
          </w:tcPr>
          <w:p w14:paraId="7D67220E" w14:textId="6CFF9B4A" w:rsidR="00AA286E" w:rsidRPr="00AA286E" w:rsidRDefault="00AA286E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£50.30</w:t>
            </w:r>
          </w:p>
        </w:tc>
        <w:tc>
          <w:tcPr>
            <w:tcW w:w="1708" w:type="dxa"/>
          </w:tcPr>
          <w:p w14:paraId="638AA8B4" w14:textId="7D4B7F35" w:rsidR="00AA286E" w:rsidRPr="00AA286E" w:rsidRDefault="00AA286E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£50.30</w:t>
            </w:r>
          </w:p>
        </w:tc>
      </w:tr>
      <w:tr w:rsidR="00AA286E" w:rsidRPr="00AA286E" w14:paraId="590D3616" w14:textId="5976F321" w:rsidTr="00AA286E">
        <w:tc>
          <w:tcPr>
            <w:tcW w:w="704" w:type="dxa"/>
          </w:tcPr>
          <w:p w14:paraId="24E4F510" w14:textId="068C518E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14:paraId="7E9A3482" w14:textId="31E539FE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4420596</w:t>
            </w:r>
          </w:p>
        </w:tc>
        <w:tc>
          <w:tcPr>
            <w:tcW w:w="2547" w:type="dxa"/>
          </w:tcPr>
          <w:p w14:paraId="7CDD6D4A" w14:textId="769B76B9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Power Supply (external power pack, V3)</w:t>
            </w:r>
          </w:p>
        </w:tc>
        <w:tc>
          <w:tcPr>
            <w:tcW w:w="1708" w:type="dxa"/>
          </w:tcPr>
          <w:p w14:paraId="55B698B5" w14:textId="24F55EBE" w:rsidR="00AA286E" w:rsidRPr="00AA286E" w:rsidRDefault="00AA286E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£42.95</w:t>
            </w:r>
          </w:p>
        </w:tc>
        <w:tc>
          <w:tcPr>
            <w:tcW w:w="1708" w:type="dxa"/>
          </w:tcPr>
          <w:p w14:paraId="435A2EDA" w14:textId="40D121FD" w:rsidR="00AA286E" w:rsidRPr="00AA286E" w:rsidRDefault="00AA286E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£42.95</w:t>
            </w:r>
          </w:p>
        </w:tc>
      </w:tr>
      <w:tr w:rsidR="00AA286E" w:rsidRPr="00AA286E" w14:paraId="328C9700" w14:textId="75C43051" w:rsidTr="00AA286E">
        <w:tc>
          <w:tcPr>
            <w:tcW w:w="704" w:type="dxa"/>
          </w:tcPr>
          <w:p w14:paraId="6AE0DE21" w14:textId="502164EA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14:paraId="4FB686A8" w14:textId="2A400F13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4430603</w:t>
            </w:r>
          </w:p>
        </w:tc>
        <w:tc>
          <w:tcPr>
            <w:tcW w:w="2547" w:type="dxa"/>
          </w:tcPr>
          <w:p w14:paraId="2858BFD0" w14:textId="0D852F5B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UK Plug Adapter*</w:t>
            </w:r>
          </w:p>
        </w:tc>
        <w:tc>
          <w:tcPr>
            <w:tcW w:w="1708" w:type="dxa"/>
          </w:tcPr>
          <w:p w14:paraId="6FC34DCD" w14:textId="74407869" w:rsidR="00AA286E" w:rsidRPr="00AA286E" w:rsidRDefault="00AA286E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£50.30</w:t>
            </w:r>
          </w:p>
        </w:tc>
        <w:tc>
          <w:tcPr>
            <w:tcW w:w="1708" w:type="dxa"/>
          </w:tcPr>
          <w:p w14:paraId="027E8C70" w14:textId="4DF532E7" w:rsidR="00AA286E" w:rsidRPr="00AA286E" w:rsidRDefault="00AA286E" w:rsidP="00AA28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£5.53</w:t>
            </w:r>
          </w:p>
        </w:tc>
      </w:tr>
      <w:tr w:rsidR="00F17A63" w:rsidRPr="00AA286E" w14:paraId="2A462D3A" w14:textId="77777777" w:rsidTr="00AA286E">
        <w:tc>
          <w:tcPr>
            <w:tcW w:w="704" w:type="dxa"/>
          </w:tcPr>
          <w:p w14:paraId="542CEC2F" w14:textId="77777777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A6DA2A3" w14:textId="77777777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B051FB5" w14:textId="77777777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E9E2A16" w14:textId="1C948F52" w:rsidR="00F17A63" w:rsidRPr="00AA286E" w:rsidRDefault="00AA286E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8" w:type="dxa"/>
          </w:tcPr>
          <w:p w14:paraId="24C164D6" w14:textId="53DFAD8D" w:rsidR="00F17A63" w:rsidRPr="00AA286E" w:rsidRDefault="006F4635" w:rsidP="006F46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£121.28</w:t>
            </w:r>
          </w:p>
        </w:tc>
      </w:tr>
    </w:tbl>
    <w:p w14:paraId="5689B9A2" w14:textId="49766F61" w:rsidR="00F17A63" w:rsidRPr="00AA286E" w:rsidRDefault="00F17A63">
      <w:pPr>
        <w:rPr>
          <w:rFonts w:ascii="Arial" w:hAnsi="Arial" w:cs="Arial"/>
          <w:sz w:val="24"/>
          <w:szCs w:val="24"/>
        </w:rPr>
      </w:pPr>
    </w:p>
    <w:p w14:paraId="5F9BB45A" w14:textId="78C83BA9" w:rsidR="00AA286E" w:rsidRPr="00AA286E" w:rsidRDefault="00AA286E">
      <w:pPr>
        <w:rPr>
          <w:rFonts w:ascii="Arial" w:hAnsi="Arial" w:cs="Arial"/>
          <w:sz w:val="24"/>
          <w:szCs w:val="24"/>
        </w:rPr>
      </w:pPr>
      <w:r w:rsidRPr="00AA286E">
        <w:rPr>
          <w:rFonts w:ascii="Arial" w:hAnsi="Arial" w:cs="Arial"/>
          <w:sz w:val="24"/>
          <w:szCs w:val="24"/>
        </w:rPr>
        <w:t xml:space="preserve">If the UK plug adapter from the original </w:t>
      </w:r>
      <w:r>
        <w:rPr>
          <w:rFonts w:ascii="Arial" w:hAnsi="Arial" w:cs="Arial"/>
          <w:sz w:val="24"/>
          <w:szCs w:val="24"/>
        </w:rPr>
        <w:t xml:space="preserve">power supply </w:t>
      </w:r>
      <w:r w:rsidRPr="00AA286E">
        <w:rPr>
          <w:rFonts w:ascii="Arial" w:hAnsi="Arial" w:cs="Arial"/>
          <w:sz w:val="24"/>
          <w:szCs w:val="24"/>
        </w:rPr>
        <w:t>is undamaged, then it is easily removed and can be fitted to the replacement power supply</w:t>
      </w:r>
    </w:p>
    <w:p w14:paraId="7CA3657F" w14:textId="34A5AEE4" w:rsidR="00F17A63" w:rsidRDefault="00F17A63">
      <w:pPr>
        <w:rPr>
          <w:rFonts w:ascii="Arial" w:hAnsi="Arial" w:cs="Arial"/>
          <w:sz w:val="24"/>
          <w:szCs w:val="24"/>
        </w:rPr>
      </w:pPr>
    </w:p>
    <w:p w14:paraId="53333B44" w14:textId="77777777" w:rsidR="00AA286E" w:rsidRPr="00AA286E" w:rsidRDefault="00AA286E">
      <w:pPr>
        <w:rPr>
          <w:rFonts w:ascii="Arial" w:hAnsi="Arial" w:cs="Arial"/>
          <w:sz w:val="24"/>
          <w:szCs w:val="24"/>
        </w:rPr>
      </w:pPr>
    </w:p>
    <w:p w14:paraId="2F5803E9" w14:textId="3552A587" w:rsidR="00AA286E" w:rsidRPr="00AA286E" w:rsidRDefault="00AA286E">
      <w:pPr>
        <w:rPr>
          <w:rFonts w:ascii="Arial" w:hAnsi="Arial" w:cs="Arial"/>
          <w:b/>
          <w:sz w:val="24"/>
          <w:szCs w:val="24"/>
        </w:rPr>
      </w:pPr>
      <w:r w:rsidRPr="00AA286E">
        <w:rPr>
          <w:rFonts w:ascii="Arial" w:hAnsi="Arial" w:cs="Arial"/>
          <w:b/>
          <w:sz w:val="24"/>
          <w:szCs w:val="24"/>
        </w:rPr>
        <w:t>Option 2</w:t>
      </w:r>
    </w:p>
    <w:p w14:paraId="2379BDB0" w14:textId="7F5F9580" w:rsidR="00F17A63" w:rsidRPr="00AA286E" w:rsidRDefault="00F17A63">
      <w:pPr>
        <w:rPr>
          <w:rFonts w:ascii="Arial" w:hAnsi="Arial" w:cs="Arial"/>
          <w:sz w:val="24"/>
          <w:szCs w:val="24"/>
        </w:rPr>
      </w:pPr>
      <w:r w:rsidRPr="00AA286E">
        <w:rPr>
          <w:rFonts w:ascii="Arial" w:hAnsi="Arial" w:cs="Arial"/>
          <w:sz w:val="24"/>
          <w:szCs w:val="24"/>
        </w:rPr>
        <w:t xml:space="preserve">If either the </w:t>
      </w:r>
      <w:r w:rsidR="00AA286E" w:rsidRPr="00AA286E">
        <w:rPr>
          <w:rFonts w:ascii="Arial" w:hAnsi="Arial" w:cs="Arial"/>
          <w:sz w:val="24"/>
          <w:szCs w:val="24"/>
        </w:rPr>
        <w:t>cable</w:t>
      </w:r>
      <w:r w:rsidRPr="00AA286E">
        <w:rPr>
          <w:rFonts w:ascii="Arial" w:hAnsi="Arial" w:cs="Arial"/>
          <w:sz w:val="24"/>
          <w:szCs w:val="24"/>
        </w:rPr>
        <w:t xml:space="preserve"> or the </w:t>
      </w:r>
      <w:r w:rsidR="00AA286E" w:rsidRPr="00AA286E">
        <w:rPr>
          <w:rFonts w:ascii="Arial" w:hAnsi="Arial" w:cs="Arial"/>
          <w:sz w:val="24"/>
          <w:szCs w:val="24"/>
        </w:rPr>
        <w:t>connector</w:t>
      </w:r>
      <w:r w:rsidRPr="00AA286E">
        <w:rPr>
          <w:rFonts w:ascii="Arial" w:hAnsi="Arial" w:cs="Arial"/>
          <w:sz w:val="24"/>
          <w:szCs w:val="24"/>
        </w:rPr>
        <w:t xml:space="preserve"> of the external power is </w:t>
      </w:r>
      <w:r w:rsidR="00AA286E" w:rsidRPr="00AA286E">
        <w:rPr>
          <w:rFonts w:ascii="Arial" w:hAnsi="Arial" w:cs="Arial"/>
          <w:sz w:val="24"/>
          <w:szCs w:val="24"/>
        </w:rPr>
        <w:t>damaged</w:t>
      </w:r>
      <w:r w:rsidRPr="00AA286E">
        <w:rPr>
          <w:rFonts w:ascii="Arial" w:hAnsi="Arial" w:cs="Arial"/>
          <w:sz w:val="24"/>
          <w:szCs w:val="24"/>
        </w:rPr>
        <w:t>, it can be repaired and upgraded</w:t>
      </w:r>
      <w:r w:rsidR="00AA286E">
        <w:rPr>
          <w:rFonts w:ascii="Arial" w:hAnsi="Arial" w:cs="Arial"/>
          <w:sz w:val="24"/>
          <w:szCs w:val="24"/>
        </w:rPr>
        <w:t xml:space="preserve">, therefore </w:t>
      </w:r>
      <w:r w:rsidR="00AA286E" w:rsidRPr="00AA286E">
        <w:rPr>
          <w:rFonts w:ascii="Arial" w:hAnsi="Arial" w:cs="Arial"/>
          <w:sz w:val="24"/>
          <w:szCs w:val="24"/>
        </w:rPr>
        <w:t>the parts and labour required are as follows</w:t>
      </w:r>
      <w:r w:rsidRPr="00AA286E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51"/>
        <w:gridCol w:w="2547"/>
        <w:gridCol w:w="1803"/>
        <w:gridCol w:w="1599"/>
      </w:tblGrid>
      <w:tr w:rsidR="00F17A63" w:rsidRPr="00AA286E" w14:paraId="52999D9B" w14:textId="77777777" w:rsidTr="00AA286E">
        <w:tc>
          <w:tcPr>
            <w:tcW w:w="704" w:type="dxa"/>
          </w:tcPr>
          <w:p w14:paraId="106EC8DB" w14:textId="07ECBF55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Qty</w:t>
            </w:r>
          </w:p>
        </w:tc>
        <w:tc>
          <w:tcPr>
            <w:tcW w:w="1151" w:type="dxa"/>
          </w:tcPr>
          <w:p w14:paraId="051C2AB7" w14:textId="45409902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P/N</w:t>
            </w:r>
          </w:p>
        </w:tc>
        <w:tc>
          <w:tcPr>
            <w:tcW w:w="2547" w:type="dxa"/>
          </w:tcPr>
          <w:p w14:paraId="249F67F4" w14:textId="36FC9FC9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803" w:type="dxa"/>
          </w:tcPr>
          <w:p w14:paraId="1263BB55" w14:textId="02EA522F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Unit Price</w:t>
            </w:r>
          </w:p>
        </w:tc>
        <w:tc>
          <w:tcPr>
            <w:tcW w:w="1599" w:type="dxa"/>
          </w:tcPr>
          <w:p w14:paraId="17166E7E" w14:textId="238E4241" w:rsidR="00F17A63" w:rsidRPr="00AA286E" w:rsidRDefault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F17A63" w:rsidRPr="00AA286E" w14:paraId="21118757" w14:textId="77777777" w:rsidTr="00AA286E">
        <w:tc>
          <w:tcPr>
            <w:tcW w:w="704" w:type="dxa"/>
          </w:tcPr>
          <w:p w14:paraId="6A40283C" w14:textId="71D62E00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  <w:tc>
          <w:tcPr>
            <w:tcW w:w="1151" w:type="dxa"/>
          </w:tcPr>
          <w:p w14:paraId="3A547956" w14:textId="40AF99F4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4440000</w:t>
            </w:r>
          </w:p>
        </w:tc>
        <w:tc>
          <w:tcPr>
            <w:tcW w:w="2547" w:type="dxa"/>
          </w:tcPr>
          <w:p w14:paraId="55BFB587" w14:textId="2BB20B78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Labour</w:t>
            </w:r>
          </w:p>
        </w:tc>
        <w:tc>
          <w:tcPr>
            <w:tcW w:w="1803" w:type="dxa"/>
          </w:tcPr>
          <w:p w14:paraId="36A3DB5A" w14:textId="686ECEA9" w:rsidR="00F17A63" w:rsidRPr="00AA286E" w:rsidRDefault="00F17A63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£90.00</w:t>
            </w:r>
          </w:p>
        </w:tc>
        <w:tc>
          <w:tcPr>
            <w:tcW w:w="1599" w:type="dxa"/>
          </w:tcPr>
          <w:p w14:paraId="4722E755" w14:textId="7DFB21F3" w:rsidR="00F17A63" w:rsidRPr="00AA286E" w:rsidRDefault="00F17A63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£22.50</w:t>
            </w:r>
          </w:p>
        </w:tc>
      </w:tr>
      <w:tr w:rsidR="00AA286E" w:rsidRPr="00AA286E" w14:paraId="339A7EE0" w14:textId="77777777" w:rsidTr="00AA286E">
        <w:tc>
          <w:tcPr>
            <w:tcW w:w="704" w:type="dxa"/>
          </w:tcPr>
          <w:p w14:paraId="3881D7D1" w14:textId="26527172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14:paraId="68414424" w14:textId="43D6FA28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4400052</w:t>
            </w:r>
          </w:p>
        </w:tc>
        <w:tc>
          <w:tcPr>
            <w:tcW w:w="2547" w:type="dxa"/>
          </w:tcPr>
          <w:p w14:paraId="2AE00367" w14:textId="29479EE8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Lower Casing Assembly (with upgraded power socket)</w:t>
            </w:r>
          </w:p>
        </w:tc>
        <w:tc>
          <w:tcPr>
            <w:tcW w:w="1803" w:type="dxa"/>
          </w:tcPr>
          <w:p w14:paraId="6EEF5697" w14:textId="22154B8B" w:rsidR="00AA286E" w:rsidRPr="00AA286E" w:rsidRDefault="00AA286E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£50.30</w:t>
            </w:r>
          </w:p>
        </w:tc>
        <w:tc>
          <w:tcPr>
            <w:tcW w:w="1599" w:type="dxa"/>
          </w:tcPr>
          <w:p w14:paraId="6ED9C654" w14:textId="3BA803F9" w:rsidR="00AA286E" w:rsidRPr="00AA286E" w:rsidRDefault="00AA286E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£50.30</w:t>
            </w:r>
          </w:p>
        </w:tc>
      </w:tr>
      <w:tr w:rsidR="00AA286E" w:rsidRPr="00AA286E" w14:paraId="0BB1AA78" w14:textId="77777777" w:rsidTr="00AA286E">
        <w:tc>
          <w:tcPr>
            <w:tcW w:w="704" w:type="dxa"/>
          </w:tcPr>
          <w:p w14:paraId="490222AD" w14:textId="37AD2B31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14:paraId="71F935BD" w14:textId="353CB853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4430065</w:t>
            </w:r>
          </w:p>
        </w:tc>
        <w:tc>
          <w:tcPr>
            <w:tcW w:w="2547" w:type="dxa"/>
          </w:tcPr>
          <w:p w14:paraId="008F8D46" w14:textId="1BC2D0E6" w:rsidR="00AA286E" w:rsidRPr="00AA286E" w:rsidRDefault="00AA286E" w:rsidP="00AA286E">
            <w:pPr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Power Pack cable with upgraded connector</w:t>
            </w:r>
          </w:p>
        </w:tc>
        <w:tc>
          <w:tcPr>
            <w:tcW w:w="1803" w:type="dxa"/>
          </w:tcPr>
          <w:p w14:paraId="1E2B626A" w14:textId="25FFDAAE" w:rsidR="00AA286E" w:rsidRPr="00AA286E" w:rsidRDefault="00AA286E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£14.75</w:t>
            </w:r>
          </w:p>
        </w:tc>
        <w:tc>
          <w:tcPr>
            <w:tcW w:w="1599" w:type="dxa"/>
          </w:tcPr>
          <w:p w14:paraId="016B47E4" w14:textId="6198AD98" w:rsidR="00AA286E" w:rsidRPr="00AA286E" w:rsidRDefault="00AA286E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286E">
              <w:rPr>
                <w:rFonts w:ascii="Arial" w:hAnsi="Arial" w:cs="Arial"/>
                <w:sz w:val="24"/>
                <w:szCs w:val="24"/>
              </w:rPr>
              <w:t>£14.75</w:t>
            </w:r>
          </w:p>
        </w:tc>
      </w:tr>
      <w:tr w:rsidR="00F17A63" w:rsidRPr="00AA286E" w14:paraId="3474B666" w14:textId="77777777" w:rsidTr="00AA286E">
        <w:tc>
          <w:tcPr>
            <w:tcW w:w="704" w:type="dxa"/>
          </w:tcPr>
          <w:p w14:paraId="39E57501" w14:textId="77777777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2C685ED" w14:textId="77777777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50C916B" w14:textId="77777777" w:rsidR="00F17A63" w:rsidRPr="00AA286E" w:rsidRDefault="00F17A63" w:rsidP="00F17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3371D0" w14:textId="76C243E5" w:rsidR="00F17A63" w:rsidRPr="00AA286E" w:rsidRDefault="00AA286E" w:rsidP="002A3D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99" w:type="dxa"/>
          </w:tcPr>
          <w:p w14:paraId="26A21E64" w14:textId="60146705" w:rsidR="00F17A63" w:rsidRPr="00AA286E" w:rsidRDefault="006F4635" w:rsidP="006F46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£87.55</w:t>
            </w:r>
          </w:p>
        </w:tc>
      </w:tr>
    </w:tbl>
    <w:p w14:paraId="31781906" w14:textId="685848BB" w:rsidR="00F17A63" w:rsidRDefault="00F17A63"/>
    <w:p w14:paraId="1DEB200D" w14:textId="60395EB3" w:rsidR="00AA286E" w:rsidRDefault="00AA286E"/>
    <w:p w14:paraId="13F2D9EA" w14:textId="7F726D8F" w:rsidR="00AA286E" w:rsidRDefault="00AA286E">
      <w:r>
        <w:t>Prices exclude VAT and deli</w:t>
      </w:r>
      <w:bookmarkStart w:id="0" w:name="_GoBack"/>
      <w:bookmarkEnd w:id="0"/>
      <w:r>
        <w:t>very.</w:t>
      </w:r>
    </w:p>
    <w:sectPr w:rsidR="00AA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63"/>
    <w:rsid w:val="00062B72"/>
    <w:rsid w:val="002A3DFF"/>
    <w:rsid w:val="00452DC9"/>
    <w:rsid w:val="006F4635"/>
    <w:rsid w:val="007F0C05"/>
    <w:rsid w:val="00AA286E"/>
    <w:rsid w:val="00B649BD"/>
    <w:rsid w:val="00F1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D7FB"/>
  <w15:chartTrackingRefBased/>
  <w15:docId w15:val="{77D961C8-A4CB-478D-803C-D6CA222C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9BA88-01F6-4044-ABE7-BD1DF591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2018-05-09T09:42:00Z</cp:lastPrinted>
  <dcterms:created xsi:type="dcterms:W3CDTF">2018-05-09T10:32:00Z</dcterms:created>
  <dcterms:modified xsi:type="dcterms:W3CDTF">2018-05-09T10:32:00Z</dcterms:modified>
</cp:coreProperties>
</file>