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DC2349" w14:textId="05566D96" w:rsidR="008E5028" w:rsidRPr="008E5028" w:rsidRDefault="008E5028">
      <w:pPr>
        <w:rPr>
          <w:color w:val="FF0000"/>
        </w:rPr>
      </w:pPr>
      <w:r w:rsidRPr="008E5028">
        <w:rPr>
          <w:color w:val="FF0000"/>
        </w:rPr>
        <w:t>Label part number 2590100</w:t>
      </w:r>
    </w:p>
    <w:p w14:paraId="45BE056D" w14:textId="77777777" w:rsidR="008E5028" w:rsidRDefault="008E5028" w:rsidP="008E5028">
      <w:pPr>
        <w:pStyle w:val="Heading1"/>
        <w:ind w:left="180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Microstim</w:t>
      </w:r>
      <w:proofErr w:type="spellEnd"/>
      <w:r>
        <w:rPr>
          <w:rFonts w:ascii="Arial" w:hAnsi="Arial" w:cs="Arial"/>
          <w:sz w:val="20"/>
        </w:rPr>
        <w:t xml:space="preserve"> DB3 Supramaximal Nerve Stimulator</w:t>
      </w:r>
    </w:p>
    <w:p w14:paraId="25E30502" w14:textId="77777777" w:rsidR="008E5028" w:rsidRDefault="008E5028" w:rsidP="008E5028">
      <w:pPr>
        <w:ind w:left="18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Part number: 2510001</w:t>
      </w:r>
    </w:p>
    <w:p w14:paraId="1143F279" w14:textId="77777777" w:rsidR="008E5028" w:rsidRDefault="008E5028" w:rsidP="008E5028">
      <w:pPr>
        <w:ind w:left="180"/>
        <w:rPr>
          <w:rFonts w:ascii="Arial" w:hAnsi="Arial" w:cs="Arial"/>
          <w:sz w:val="16"/>
        </w:rPr>
      </w:pPr>
      <w:r>
        <w:rPr>
          <w:rFonts w:ascii="Arial" w:hAnsi="Arial" w:cs="Arial"/>
          <w:sz w:val="20"/>
        </w:rPr>
        <w:t>Serial number:</w:t>
      </w:r>
      <w:r>
        <w:rPr>
          <w:rFonts w:ascii="Arial" w:hAnsi="Arial" w:cs="Arial"/>
          <w:sz w:val="16"/>
        </w:rPr>
        <w:t xml:space="preserve">  H000xxxx</w:t>
      </w:r>
    </w:p>
    <w:p w14:paraId="76B9D024" w14:textId="57FFA47E" w:rsidR="008E5028" w:rsidRDefault="008E5028" w:rsidP="008E5028">
      <w:pPr>
        <w:ind w:left="180"/>
        <w:rPr>
          <w:rFonts w:ascii="Arial" w:hAnsi="Arial" w:cs="Arial"/>
          <w:sz w:val="16"/>
        </w:rPr>
      </w:pPr>
      <w:r>
        <w:rPr>
          <w:noProof/>
          <w:sz w:val="16"/>
          <w:lang w:val="en-US"/>
        </w:rPr>
        <w:drawing>
          <wp:anchor distT="0" distB="0" distL="114300" distR="114300" simplePos="0" relativeHeight="251659264" behindDoc="0" locked="0" layoutInCell="1" allowOverlap="1" wp14:anchorId="18DF3341" wp14:editId="764F370B">
            <wp:simplePos x="0" y="0"/>
            <wp:positionH relativeFrom="column">
              <wp:posOffset>114300</wp:posOffset>
            </wp:positionH>
            <wp:positionV relativeFrom="paragraph">
              <wp:posOffset>42545</wp:posOffset>
            </wp:positionV>
            <wp:extent cx="571500" cy="5238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72DA28" w14:textId="77777777" w:rsidR="008E5028" w:rsidRDefault="008E5028" w:rsidP="008E5028">
      <w:pPr>
        <w:ind w:left="180"/>
        <w:rPr>
          <w:rFonts w:ascii="Arial" w:hAnsi="Arial" w:cs="Arial"/>
          <w:b/>
          <w:bCs/>
          <w:sz w:val="16"/>
          <w:szCs w:val="20"/>
          <w:lang w:val="en-US"/>
        </w:rPr>
      </w:pPr>
      <w:r>
        <w:rPr>
          <w:rFonts w:ascii="Arial" w:hAnsi="Arial" w:cs="Arial"/>
          <w:b/>
          <w:bCs/>
          <w:sz w:val="16"/>
          <w:szCs w:val="20"/>
          <w:lang w:val="en-US"/>
        </w:rPr>
        <w:t xml:space="preserve">            </w:t>
      </w:r>
    </w:p>
    <w:p w14:paraId="3E280BB8" w14:textId="77777777" w:rsidR="008E5028" w:rsidRDefault="008E5028" w:rsidP="008E5028">
      <w:pPr>
        <w:pStyle w:val="Heading4"/>
        <w:ind w:left="180"/>
        <w:jc w:val="left"/>
        <w:rPr>
          <w:szCs w:val="20"/>
          <w:lang w:val="en-US"/>
        </w:rPr>
      </w:pPr>
      <w:r>
        <w:rPr>
          <w:b w:val="0"/>
          <w:bCs w:val="0"/>
          <w:sz w:val="16"/>
          <w:szCs w:val="20"/>
          <w:lang w:val="en-US"/>
        </w:rPr>
        <w:t xml:space="preserve">                </w:t>
      </w:r>
      <w:r>
        <w:rPr>
          <w:szCs w:val="20"/>
          <w:lang w:val="en-US"/>
        </w:rPr>
        <w:t>Caution:</w:t>
      </w:r>
    </w:p>
    <w:p w14:paraId="21566DDC" w14:textId="77777777" w:rsidR="008E5028" w:rsidRDefault="008E5028" w:rsidP="008E5028">
      <w:pPr>
        <w:ind w:left="180"/>
        <w:rPr>
          <w:sz w:val="16"/>
          <w:lang w:val="en-US"/>
        </w:rPr>
      </w:pPr>
    </w:p>
    <w:p w14:paraId="0BC14680" w14:textId="77777777" w:rsidR="008E5028" w:rsidRDefault="008E5028" w:rsidP="008E5028">
      <w:pPr>
        <w:pStyle w:val="BodyTextIndent"/>
        <w:rPr>
          <w:sz w:val="16"/>
        </w:rPr>
      </w:pPr>
    </w:p>
    <w:p w14:paraId="10BA4B1C" w14:textId="77777777" w:rsidR="008E5028" w:rsidRDefault="008E5028" w:rsidP="008E5028">
      <w:pPr>
        <w:pStyle w:val="BodyTextIndent"/>
        <w:rPr>
          <w:sz w:val="22"/>
        </w:rPr>
      </w:pPr>
      <w:r>
        <w:rPr>
          <w:sz w:val="22"/>
        </w:rPr>
        <w:t xml:space="preserve">This is a non-standard version unit and is easily identified as it has green switches; the standard </w:t>
      </w:r>
    </w:p>
    <w:p w14:paraId="55E023E6" w14:textId="77777777" w:rsidR="008E5028" w:rsidRDefault="008E5028" w:rsidP="008E5028">
      <w:pPr>
        <w:pStyle w:val="BodyTextIndent"/>
        <w:rPr>
          <w:sz w:val="22"/>
        </w:rPr>
      </w:pPr>
      <w:r>
        <w:rPr>
          <w:sz w:val="22"/>
        </w:rPr>
        <w:t>version (part number 2510000) has red switches.</w:t>
      </w:r>
    </w:p>
    <w:p w14:paraId="12CE0746" w14:textId="77777777" w:rsidR="008E5028" w:rsidRDefault="008E5028" w:rsidP="008E5028">
      <w:pPr>
        <w:ind w:left="180"/>
        <w:rPr>
          <w:rFonts w:ascii="Arial" w:hAnsi="Arial" w:cs="Arial"/>
          <w:sz w:val="18"/>
        </w:rPr>
      </w:pPr>
    </w:p>
    <w:p w14:paraId="04F9BE4F" w14:textId="77777777" w:rsidR="008E5028" w:rsidRDefault="008E5028" w:rsidP="008E5028">
      <w:pPr>
        <w:pStyle w:val="BodyTextIndent"/>
        <w:rPr>
          <w:b/>
          <w:bCs/>
          <w:sz w:val="22"/>
        </w:rPr>
      </w:pPr>
      <w:r>
        <w:rPr>
          <w:b/>
          <w:bCs/>
          <w:sz w:val="22"/>
        </w:rPr>
        <w:t xml:space="preserve">It is essential that the user reads the </w:t>
      </w:r>
      <w:proofErr w:type="gramStart"/>
      <w:r>
        <w:rPr>
          <w:b/>
          <w:bCs/>
          <w:sz w:val="22"/>
        </w:rPr>
        <w:t>supplementary  instructions</w:t>
      </w:r>
      <w:proofErr w:type="gramEnd"/>
      <w:r>
        <w:rPr>
          <w:b/>
          <w:bCs/>
          <w:sz w:val="22"/>
        </w:rPr>
        <w:t xml:space="preserve"> – Appendix I, page 20.</w:t>
      </w:r>
    </w:p>
    <w:p w14:paraId="7C0680D0" w14:textId="77777777" w:rsidR="008E5028" w:rsidRDefault="008E5028" w:rsidP="008E5028">
      <w:pPr>
        <w:pStyle w:val="BodyTextIndent"/>
        <w:rPr>
          <w:b/>
          <w:bCs/>
          <w:sz w:val="22"/>
        </w:rPr>
      </w:pPr>
      <w:r>
        <w:rPr>
          <w:b/>
          <w:bCs/>
          <w:sz w:val="22"/>
        </w:rPr>
        <w:t xml:space="preserve">      </w:t>
      </w:r>
    </w:p>
    <w:p w14:paraId="0DCD5269" w14:textId="5FB6D7FA" w:rsidR="008E5028" w:rsidRDefault="008E5028" w:rsidP="008E5028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                                                                                           1 </w:t>
      </w:r>
      <w:proofErr w:type="gramStart"/>
      <w:r>
        <w:rPr>
          <w:rFonts w:ascii="Arial" w:hAnsi="Arial" w:cs="Arial"/>
          <w:sz w:val="16"/>
        </w:rPr>
        <w:t>February  2010</w:t>
      </w:r>
      <w:proofErr w:type="gramEnd"/>
    </w:p>
    <w:p w14:paraId="17DC3693" w14:textId="5E4D285D" w:rsidR="008E5028" w:rsidRPr="008E5028" w:rsidRDefault="008E5028" w:rsidP="008E5028">
      <w:pPr>
        <w:rPr>
          <w:color w:val="FF0000"/>
        </w:rPr>
      </w:pPr>
      <w:r w:rsidRPr="008E5028">
        <w:rPr>
          <w:color w:val="FF0000"/>
        </w:rPr>
        <w:t>Label part number 259010</w:t>
      </w:r>
      <w:r w:rsidRPr="008E5028">
        <w:rPr>
          <w:color w:val="FF0000"/>
        </w:rPr>
        <w:t>1</w:t>
      </w:r>
    </w:p>
    <w:p w14:paraId="7B186BF9" w14:textId="77777777" w:rsidR="008E5028" w:rsidRDefault="008E5028" w:rsidP="008E5028">
      <w:pPr>
        <w:pStyle w:val="Heading1"/>
      </w:pPr>
      <w:r>
        <w:t>Appendix I</w:t>
      </w:r>
    </w:p>
    <w:p w14:paraId="72F32B89" w14:textId="77777777" w:rsidR="008E5028" w:rsidRDefault="008E5028" w:rsidP="008E5028">
      <w:pPr>
        <w:rPr>
          <w:rFonts w:ascii="Arial" w:hAnsi="Arial" w:cs="Arial"/>
          <w:sz w:val="20"/>
        </w:rPr>
      </w:pPr>
    </w:p>
    <w:p w14:paraId="75DA1F2D" w14:textId="77777777" w:rsidR="008E5028" w:rsidRDefault="008E5028" w:rsidP="008E502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Applies to DB3 Supramaximal Nerve Stimulators, part number </w:t>
      </w:r>
      <w:r>
        <w:rPr>
          <w:rFonts w:ascii="Arial" w:hAnsi="Arial" w:cs="Arial"/>
          <w:b/>
          <w:bCs/>
          <w:sz w:val="20"/>
        </w:rPr>
        <w:t>2510001</w:t>
      </w:r>
    </w:p>
    <w:p w14:paraId="4BEAFDA7" w14:textId="77777777" w:rsidR="008E5028" w:rsidRDefault="008E5028" w:rsidP="008E5028">
      <w:pPr>
        <w:ind w:left="180"/>
        <w:rPr>
          <w:rFonts w:ascii="Arial" w:hAnsi="Arial" w:cs="Arial"/>
          <w:sz w:val="18"/>
        </w:rPr>
      </w:pPr>
    </w:p>
    <w:p w14:paraId="1111D6B3" w14:textId="77777777" w:rsidR="008E5028" w:rsidRDefault="008E5028" w:rsidP="008E5028">
      <w:pPr>
        <w:ind w:left="18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Functionality of stimulation is as follows:</w:t>
      </w:r>
    </w:p>
    <w:p w14:paraId="74663B22" w14:textId="77777777" w:rsidR="008E5028" w:rsidRDefault="008E5028" w:rsidP="008E5028">
      <w:pPr>
        <w:ind w:left="180"/>
        <w:rPr>
          <w:rFonts w:ascii="Arial" w:hAnsi="Arial" w:cs="Arial"/>
          <w:sz w:val="18"/>
        </w:rPr>
      </w:pPr>
    </w:p>
    <w:p w14:paraId="10F78AB4" w14:textId="77777777" w:rsidR="008E5028" w:rsidRDefault="008E5028" w:rsidP="008E5028">
      <w:pPr>
        <w:tabs>
          <w:tab w:val="left" w:pos="900"/>
        </w:tabs>
        <w:ind w:left="180"/>
        <w:rPr>
          <w:rFonts w:ascii="Arial" w:hAnsi="Arial" w:cs="Arial"/>
          <w:sz w:val="18"/>
        </w:rPr>
      </w:pPr>
      <w:r>
        <w:rPr>
          <w:rFonts w:ascii="Arial" w:hAnsi="Arial" w:cs="Arial"/>
          <w:b/>
          <w:bCs/>
          <w:sz w:val="18"/>
        </w:rPr>
        <w:t>T.O.F.</w:t>
      </w:r>
      <w:r>
        <w:rPr>
          <w:rFonts w:ascii="Arial" w:hAnsi="Arial" w:cs="Arial"/>
          <w:sz w:val="18"/>
        </w:rPr>
        <w:t xml:space="preserve">   Latching switch – Continuous cyclic output, T.O.F. which repeats after a pause of </w:t>
      </w:r>
    </w:p>
    <w:p w14:paraId="0390DEE8" w14:textId="77777777" w:rsidR="008E5028" w:rsidRDefault="008E5028" w:rsidP="008E5028">
      <w:pPr>
        <w:tabs>
          <w:tab w:val="left" w:pos="900"/>
        </w:tabs>
        <w:ind w:left="180"/>
        <w:rPr>
          <w:rFonts w:ascii="Arial" w:hAnsi="Arial" w:cs="Arial"/>
          <w:sz w:val="18"/>
        </w:rPr>
      </w:pPr>
      <w:r>
        <w:rPr>
          <w:rFonts w:ascii="Arial" w:hAnsi="Arial" w:cs="Arial"/>
          <w:b/>
          <w:bCs/>
          <w:sz w:val="18"/>
        </w:rPr>
        <w:t xml:space="preserve">             </w:t>
      </w:r>
      <w:r>
        <w:rPr>
          <w:rFonts w:ascii="Arial" w:hAnsi="Arial" w:cs="Arial"/>
          <w:sz w:val="18"/>
        </w:rPr>
        <w:t>8 seconds - for a total period of 5 minutes.</w:t>
      </w:r>
    </w:p>
    <w:p w14:paraId="67C410A4" w14:textId="77777777" w:rsidR="008E5028" w:rsidRDefault="008E5028" w:rsidP="008E5028">
      <w:pPr>
        <w:tabs>
          <w:tab w:val="left" w:pos="900"/>
        </w:tabs>
        <w:ind w:left="180"/>
        <w:rPr>
          <w:rFonts w:ascii="Arial" w:hAnsi="Arial" w:cs="Arial"/>
          <w:sz w:val="18"/>
        </w:rPr>
      </w:pPr>
    </w:p>
    <w:p w14:paraId="67BF63C7" w14:textId="77777777" w:rsidR="008E5028" w:rsidRDefault="008E5028" w:rsidP="008E5028">
      <w:pPr>
        <w:tabs>
          <w:tab w:val="left" w:pos="900"/>
        </w:tabs>
        <w:ind w:left="180"/>
        <w:rPr>
          <w:rFonts w:ascii="Arial" w:hAnsi="Arial" w:cs="Arial"/>
          <w:sz w:val="18"/>
        </w:rPr>
      </w:pPr>
      <w:r>
        <w:rPr>
          <w:rFonts w:ascii="Arial" w:hAnsi="Arial" w:cs="Arial"/>
          <w:b/>
          <w:bCs/>
          <w:sz w:val="18"/>
        </w:rPr>
        <w:t>D.B.S.</w:t>
      </w:r>
      <w:r>
        <w:rPr>
          <w:rFonts w:ascii="Arial" w:hAnsi="Arial" w:cs="Arial"/>
          <w:sz w:val="18"/>
        </w:rPr>
        <w:t xml:space="preserve">  Momentary switch - Functionality same as with standard DB3</w:t>
      </w:r>
    </w:p>
    <w:p w14:paraId="3463C154" w14:textId="77777777" w:rsidR="008E5028" w:rsidRDefault="008E5028" w:rsidP="008E5028">
      <w:pPr>
        <w:tabs>
          <w:tab w:val="left" w:pos="900"/>
        </w:tabs>
        <w:ind w:left="180"/>
        <w:rPr>
          <w:rFonts w:ascii="Arial" w:hAnsi="Arial" w:cs="Arial"/>
          <w:sz w:val="18"/>
        </w:rPr>
      </w:pPr>
    </w:p>
    <w:p w14:paraId="71FC8CE7" w14:textId="77777777" w:rsidR="008E5028" w:rsidRDefault="008E5028" w:rsidP="008E5028">
      <w:pPr>
        <w:tabs>
          <w:tab w:val="left" w:pos="900"/>
        </w:tabs>
        <w:ind w:left="180"/>
        <w:rPr>
          <w:rFonts w:ascii="Arial" w:hAnsi="Arial" w:cs="Arial"/>
          <w:sz w:val="18"/>
        </w:rPr>
      </w:pPr>
      <w:r>
        <w:rPr>
          <w:rFonts w:ascii="Arial" w:hAnsi="Arial" w:cs="Arial"/>
          <w:b/>
          <w:bCs/>
          <w:sz w:val="18"/>
        </w:rPr>
        <w:t>P.T.C.</w:t>
      </w:r>
      <w:r>
        <w:rPr>
          <w:rFonts w:ascii="Arial" w:hAnsi="Arial" w:cs="Arial"/>
          <w:sz w:val="18"/>
        </w:rPr>
        <w:t xml:space="preserve">  Momentary switch - Functionality </w:t>
      </w:r>
      <w:proofErr w:type="gramStart"/>
      <w:r>
        <w:rPr>
          <w:rFonts w:ascii="Arial" w:hAnsi="Arial" w:cs="Arial"/>
          <w:sz w:val="18"/>
        </w:rPr>
        <w:t>same  as</w:t>
      </w:r>
      <w:proofErr w:type="gramEnd"/>
      <w:r>
        <w:rPr>
          <w:rFonts w:ascii="Arial" w:hAnsi="Arial" w:cs="Arial"/>
          <w:sz w:val="18"/>
        </w:rPr>
        <w:t xml:space="preserve"> with standard DB3</w:t>
      </w:r>
    </w:p>
    <w:p w14:paraId="00B66E83" w14:textId="77777777" w:rsidR="008E5028" w:rsidRDefault="008E5028" w:rsidP="008E5028">
      <w:pPr>
        <w:tabs>
          <w:tab w:val="left" w:pos="900"/>
        </w:tabs>
        <w:ind w:left="180"/>
        <w:rPr>
          <w:rFonts w:ascii="Arial" w:hAnsi="Arial" w:cs="Arial"/>
          <w:sz w:val="18"/>
        </w:rPr>
      </w:pPr>
    </w:p>
    <w:p w14:paraId="71BA3CFA" w14:textId="77777777" w:rsidR="008E5028" w:rsidRDefault="008E5028" w:rsidP="008E5028">
      <w:pPr>
        <w:tabs>
          <w:tab w:val="left" w:pos="900"/>
        </w:tabs>
        <w:ind w:left="180"/>
        <w:rPr>
          <w:rFonts w:ascii="Arial" w:hAnsi="Arial" w:cs="Arial"/>
          <w:sz w:val="18"/>
        </w:rPr>
      </w:pPr>
      <w:r>
        <w:rPr>
          <w:rFonts w:ascii="Arial" w:hAnsi="Arial" w:cs="Arial"/>
          <w:b/>
          <w:bCs/>
          <w:sz w:val="18"/>
        </w:rPr>
        <w:t xml:space="preserve">1 </w:t>
      </w:r>
      <w:proofErr w:type="gramStart"/>
      <w:r>
        <w:rPr>
          <w:rFonts w:ascii="Arial" w:hAnsi="Arial" w:cs="Arial"/>
          <w:b/>
          <w:bCs/>
          <w:sz w:val="18"/>
        </w:rPr>
        <w:t xml:space="preserve">Hz </w:t>
      </w:r>
      <w:r>
        <w:rPr>
          <w:rFonts w:ascii="Arial" w:hAnsi="Arial" w:cs="Arial"/>
          <w:sz w:val="18"/>
        </w:rPr>
        <w:t>.</w:t>
      </w:r>
      <w:proofErr w:type="gramEnd"/>
      <w:r>
        <w:rPr>
          <w:rFonts w:ascii="Arial" w:hAnsi="Arial" w:cs="Arial"/>
          <w:sz w:val="18"/>
        </w:rPr>
        <w:t xml:space="preserve">   Latching switch – Continuous output repeats for a total period of 5 minutes.</w:t>
      </w:r>
    </w:p>
    <w:p w14:paraId="10C2352A" w14:textId="77777777" w:rsidR="008E5028" w:rsidRDefault="008E5028" w:rsidP="008E5028">
      <w:pPr>
        <w:ind w:left="180"/>
        <w:rPr>
          <w:rFonts w:ascii="Arial" w:hAnsi="Arial" w:cs="Arial"/>
          <w:sz w:val="18"/>
        </w:rPr>
      </w:pPr>
    </w:p>
    <w:p w14:paraId="057E5252" w14:textId="77777777" w:rsidR="008E5028" w:rsidRDefault="008E5028" w:rsidP="008E5028">
      <w:pPr>
        <w:ind w:left="180"/>
        <w:rPr>
          <w:rFonts w:ascii="Arial" w:hAnsi="Arial" w:cs="Arial"/>
          <w:sz w:val="18"/>
        </w:rPr>
      </w:pPr>
    </w:p>
    <w:p w14:paraId="5A28C0E5" w14:textId="77777777" w:rsidR="008E5028" w:rsidRDefault="008E5028" w:rsidP="008E5028">
      <w:pPr>
        <w:ind w:left="180"/>
        <w:rPr>
          <w:rFonts w:ascii="Arial" w:hAnsi="Arial" w:cs="Arial"/>
          <w:sz w:val="16"/>
        </w:rPr>
      </w:pPr>
      <w:r>
        <w:rPr>
          <w:rFonts w:ascii="Arial" w:hAnsi="Arial" w:cs="Arial"/>
          <w:b/>
          <w:bCs/>
        </w:rPr>
        <w:t>NOTE: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16"/>
        </w:rPr>
        <w:t xml:space="preserve">With either of the revised T.O.F. and 1Hz functions the latching switches need to </w:t>
      </w:r>
    </w:p>
    <w:p w14:paraId="687CF85E" w14:textId="77777777" w:rsidR="008E5028" w:rsidRDefault="008E5028" w:rsidP="008E5028">
      <w:pPr>
        <w:ind w:left="180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be reset to the middle position otherwise another function cannot be selected.</w:t>
      </w:r>
    </w:p>
    <w:p w14:paraId="1D510C8F" w14:textId="77777777" w:rsidR="008E5028" w:rsidRDefault="008E5028" w:rsidP="008E5028">
      <w:pPr>
        <w:ind w:left="180"/>
        <w:rPr>
          <w:rFonts w:ascii="Arial" w:hAnsi="Arial" w:cs="Arial"/>
          <w:sz w:val="16"/>
        </w:rPr>
      </w:pPr>
    </w:p>
    <w:p w14:paraId="495B9EB1" w14:textId="77777777" w:rsidR="008E5028" w:rsidRDefault="008E5028" w:rsidP="008E5028">
      <w:pPr>
        <w:pStyle w:val="BodyTextIndent"/>
        <w:rPr>
          <w:sz w:val="16"/>
        </w:rPr>
      </w:pPr>
      <w:r>
        <w:rPr>
          <w:sz w:val="16"/>
        </w:rPr>
        <w:t>After use - if either of the T.O.F and 1 Hz functions are left in the latched (On) position there is still a</w:t>
      </w:r>
    </w:p>
    <w:p w14:paraId="5AE3D6D9" w14:textId="77777777" w:rsidR="008E5028" w:rsidRDefault="008E5028" w:rsidP="008E5028">
      <w:pPr>
        <w:pStyle w:val="BodyTextIndent"/>
        <w:rPr>
          <w:sz w:val="16"/>
        </w:rPr>
      </w:pPr>
      <w:r>
        <w:rPr>
          <w:sz w:val="16"/>
        </w:rPr>
        <w:t xml:space="preserve">small current drain, even after the </w:t>
      </w:r>
      <w:proofErr w:type="gramStart"/>
      <w:r>
        <w:rPr>
          <w:sz w:val="16"/>
        </w:rPr>
        <w:t>five minute</w:t>
      </w:r>
      <w:proofErr w:type="gramEnd"/>
      <w:r>
        <w:rPr>
          <w:sz w:val="16"/>
        </w:rPr>
        <w:t xml:space="preserve"> time-out period. This current consumption will drain the </w:t>
      </w:r>
    </w:p>
    <w:p w14:paraId="7425F0C1" w14:textId="5112548C" w:rsidR="008E5028" w:rsidRDefault="008E5028" w:rsidP="008E5028">
      <w:pPr>
        <w:pStyle w:val="BodyTextIndent"/>
        <w:rPr>
          <w:sz w:val="16"/>
        </w:rPr>
      </w:pPr>
      <w:r>
        <w:rPr>
          <w:sz w:val="16"/>
        </w:rPr>
        <w:t>battery unless the switches are returned to the middle (Off) position.</w:t>
      </w:r>
    </w:p>
    <w:p w14:paraId="1AEDA7DD" w14:textId="474253C1" w:rsidR="008E5028" w:rsidRDefault="008E5028" w:rsidP="008E5028">
      <w:r>
        <w:rPr>
          <w:rFonts w:ascii="Arial" w:hAnsi="Arial" w:cs="Arial"/>
          <w:sz w:val="16"/>
        </w:rPr>
        <w:t xml:space="preserve">                                                                                                                                1</w:t>
      </w:r>
      <w:r>
        <w:rPr>
          <w:rFonts w:ascii="Arial" w:hAnsi="Arial" w:cs="Arial"/>
          <w:sz w:val="16"/>
          <w:vertAlign w:val="superscript"/>
        </w:rPr>
        <w:t>st</w:t>
      </w:r>
      <w:r>
        <w:rPr>
          <w:rFonts w:ascii="Arial" w:hAnsi="Arial" w:cs="Arial"/>
          <w:sz w:val="16"/>
        </w:rPr>
        <w:t xml:space="preserve"> February 2010</w:t>
      </w:r>
      <w:bookmarkStart w:id="0" w:name="_GoBack"/>
      <w:bookmarkEnd w:id="0"/>
    </w:p>
    <w:sectPr w:rsidR="008E5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028"/>
    <w:rsid w:val="008E5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8CA0F"/>
  <w15:chartTrackingRefBased/>
  <w15:docId w15:val="{CAD2FDFE-007A-4346-968C-00B182869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E5028"/>
    <w:pPr>
      <w:keepNext/>
      <w:spacing w:after="0" w:line="240" w:lineRule="auto"/>
      <w:ind w:left="140" w:right="140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8E5028"/>
    <w:pPr>
      <w:keepNext/>
      <w:spacing w:after="0" w:line="240" w:lineRule="auto"/>
      <w:ind w:right="140" w:firstLine="180"/>
      <w:jc w:val="right"/>
      <w:outlineLvl w:val="3"/>
    </w:pPr>
    <w:rPr>
      <w:rFonts w:ascii="Arial" w:eastAsia="Times New Roman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E502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8E5028"/>
    <w:rPr>
      <w:rFonts w:ascii="Arial" w:eastAsia="Times New Roman" w:hAnsi="Arial" w:cs="Arial"/>
      <w:b/>
      <w:bCs/>
      <w:sz w:val="24"/>
      <w:szCs w:val="24"/>
    </w:rPr>
  </w:style>
  <w:style w:type="paragraph" w:styleId="BodyTextIndent">
    <w:name w:val="Body Text Indent"/>
    <w:basedOn w:val="Normal"/>
    <w:link w:val="BodyTextIndentChar"/>
    <w:semiHidden/>
    <w:rsid w:val="008E5028"/>
    <w:pPr>
      <w:spacing w:after="0" w:line="240" w:lineRule="auto"/>
      <w:ind w:left="180"/>
    </w:pPr>
    <w:rPr>
      <w:rFonts w:ascii="Arial" w:eastAsia="Times New Roman" w:hAnsi="Arial" w:cs="Arial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8E5028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210</dc:creator>
  <cp:keywords/>
  <dc:description/>
  <cp:lastModifiedBy>Office 210</cp:lastModifiedBy>
  <cp:revision>1</cp:revision>
  <dcterms:created xsi:type="dcterms:W3CDTF">2018-06-11T17:07:00Z</dcterms:created>
  <dcterms:modified xsi:type="dcterms:W3CDTF">2018-06-11T17:10:00Z</dcterms:modified>
</cp:coreProperties>
</file>