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10.jpeg" ContentType="image/jpeg"/>
  <Override PartName="/word/media/image5.jpeg" ContentType="image/jpeg"/>
  <Override PartName="/word/media/image11.jpeg" ContentType="image/jpeg"/>
  <Override PartName="/word/media/image6.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b/>
          <w:bCs/>
          <w:sz w:val="28"/>
          <w:szCs w:val="28"/>
        </w:rPr>
      </w:pPr>
      <w:r>
        <w:rPr>
          <w:rFonts w:ascii="Arial" w:hAnsi="Arial"/>
          <w:b/>
          <w:bCs/>
          <w:sz w:val="28"/>
          <w:szCs w:val="28"/>
        </w:rPr>
        <w:t>Maxtec Oxygen Monitoring – Technical Training</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Why do we measure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Oxygen is essential to human life. The atmosphere consists of 20.95% oxygen, often approximated to 21%.</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Too little oxygen results in hypoxia, which is fatal if prolonged.</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In high concentrations (i.e. when inhaled under pressure) it can be fatal.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Oxygen in medical applications </w:t>
      </w:r>
      <w:r>
        <w:rPr>
          <w:rFonts w:ascii="Arial" w:hAnsi="Arial"/>
          <w:b w:val="false"/>
          <w:bCs w:val="false"/>
          <w:sz w:val="24"/>
          <w:szCs w:val="24"/>
        </w:rPr>
        <w:t xml:space="preserve">in the UK </w:t>
      </w:r>
      <w:r>
        <w:rPr>
          <w:rFonts w:ascii="Arial" w:hAnsi="Arial"/>
          <w:b w:val="false"/>
          <w:bCs w:val="false"/>
          <w:sz w:val="24"/>
          <w:szCs w:val="24"/>
        </w:rPr>
        <w:t>is classed as a controlled drug</w:t>
      </w:r>
      <w:r>
        <w:rPr>
          <w:rFonts w:ascii="Arial" w:hAnsi="Arial"/>
          <w:b w:val="false"/>
          <w:bCs w:val="false"/>
          <w:sz w:val="24"/>
          <w:szCs w:val="24"/>
        </w:rPr>
        <w:t>*</w:t>
      </w:r>
      <w:r>
        <w:rPr>
          <w:rFonts w:ascii="Arial" w:hAnsi="Arial"/>
          <w:b w:val="false"/>
          <w:bCs w:val="false"/>
          <w:sz w:val="24"/>
          <w:szCs w:val="24"/>
        </w:rPr>
        <w:t xml:space="preserve"> and needs to be monitored when administered to ensure that the patient is breathing a safe gas mixture.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How do we measure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To measure the percentage of oxygen in a breathing gas, we use an </w:t>
      </w:r>
      <w:r>
        <w:rPr>
          <w:rFonts w:ascii="Arial" w:hAnsi="Arial"/>
          <w:b/>
          <w:bCs/>
          <w:color w:val="2A6099"/>
          <w:sz w:val="24"/>
          <w:szCs w:val="24"/>
        </w:rPr>
        <w:t>oxygen analyser</w:t>
      </w:r>
      <w:r>
        <w:rPr>
          <w:rFonts w:ascii="Arial" w:hAnsi="Arial"/>
          <w:b w:val="false"/>
          <w:bCs w:val="false"/>
          <w:sz w:val="24"/>
          <w:szCs w:val="24"/>
        </w:rPr>
        <w:t xml:space="preserve"> or an </w:t>
      </w:r>
      <w:r>
        <w:rPr>
          <w:rFonts w:ascii="Arial" w:hAnsi="Arial"/>
          <w:b/>
          <w:bCs/>
          <w:color w:val="2A6099"/>
          <w:sz w:val="24"/>
          <w:szCs w:val="24"/>
        </w:rPr>
        <w:t>oxygen monitor</w:t>
      </w:r>
      <w:r>
        <w:rPr>
          <w:rFonts w:ascii="Arial" w:hAnsi="Arial"/>
          <w:b w:val="false"/>
          <w:bCs w:val="false"/>
          <w:sz w:val="24"/>
          <w:szCs w:val="24"/>
        </w:rPr>
        <w:t>, which are electronic devices that use an oxygen sensor to measure oxygen levels, displayed as a percentage between 0% and 100% O</w:t>
      </w:r>
      <w:r>
        <w:rPr>
          <w:rFonts w:ascii="Arial" w:hAnsi="Arial"/>
          <w:b w:val="false"/>
          <w:bCs w:val="false"/>
          <w:sz w:val="24"/>
          <w:szCs w:val="24"/>
          <w:vertAlign w:val="subscript"/>
        </w:rPr>
        <w:t>2</w:t>
      </w:r>
      <w:r>
        <w:rPr>
          <w:rFonts w:ascii="Arial" w:hAnsi="Arial"/>
          <w:b w:val="false"/>
          <w:bCs w:val="false"/>
          <w:sz w:val="24"/>
          <w:szCs w:val="24"/>
        </w:rPr>
        <w:t>.</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1"/>
        </w:numPr>
        <w:jc w:val="left"/>
        <w:rPr>
          <w:rFonts w:ascii="Arial" w:hAnsi="Arial"/>
          <w:b w:val="false"/>
          <w:bCs w:val="false"/>
          <w:sz w:val="24"/>
          <w:szCs w:val="24"/>
        </w:rPr>
      </w:pPr>
      <w:r>
        <w:rPr>
          <w:rFonts w:ascii="Arial" w:hAnsi="Arial"/>
          <w:b/>
          <w:bCs/>
          <w:color w:val="2A6099"/>
          <w:sz w:val="24"/>
          <w:szCs w:val="24"/>
        </w:rPr>
        <w:t>Oxygen analyser</w:t>
      </w:r>
      <w:r>
        <w:rPr>
          <w:rFonts w:ascii="Arial" w:hAnsi="Arial"/>
          <w:b w:val="false"/>
          <w:bCs w:val="false"/>
          <w:sz w:val="24"/>
          <w:szCs w:val="24"/>
        </w:rPr>
        <w:t xml:space="preserve"> – no user adjustable alarms. </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t>Should only be used for checking oxygen concentration and not for continuous monitoring.</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1"/>
        </w:numPr>
        <w:jc w:val="left"/>
        <w:rPr>
          <w:rFonts w:ascii="Arial" w:hAnsi="Arial"/>
          <w:b w:val="false"/>
          <w:bCs w:val="false"/>
          <w:sz w:val="24"/>
          <w:szCs w:val="24"/>
        </w:rPr>
      </w:pPr>
      <w:r>
        <w:rPr>
          <w:rFonts w:ascii="Arial" w:hAnsi="Arial"/>
          <w:b/>
          <w:bCs/>
          <w:color w:val="2A6099"/>
          <w:sz w:val="24"/>
          <w:szCs w:val="24"/>
        </w:rPr>
        <w:t>Oxygen monitor</w:t>
      </w:r>
      <w:r>
        <w:rPr>
          <w:rFonts w:ascii="Arial" w:hAnsi="Arial"/>
          <w:b w:val="false"/>
          <w:bCs w:val="false"/>
          <w:color w:val="000000"/>
          <w:sz w:val="24"/>
          <w:szCs w:val="24"/>
        </w:rPr>
        <w:t xml:space="preserve"> – has user adjustable high and low alarms.</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color w:val="000000"/>
          <w:sz w:val="24"/>
          <w:szCs w:val="24"/>
        </w:rPr>
      </w:pPr>
      <w:r>
        <w:rPr>
          <w:rFonts w:ascii="Arial" w:hAnsi="Arial"/>
          <w:b w:val="false"/>
          <w:bCs w:val="false"/>
          <w:color w:val="000000"/>
          <w:sz w:val="24"/>
          <w:szCs w:val="24"/>
        </w:rPr>
        <w:t>Can be used for continuous monitoring.</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t>Allows the user to set a ‘window’ of desired oxygen percentage and be alerted should the reading drift from this zone.</w:t>
      </w:r>
    </w:p>
    <w:p>
      <w:pPr>
        <w:pStyle w:val="Normal"/>
        <w:jc w:val="left"/>
        <w:rPr>
          <w:rFonts w:ascii="Arial" w:hAnsi="Arial"/>
          <w:b w:val="false"/>
          <w:bCs w:val="false"/>
          <w:color w:val="000000"/>
          <w:sz w:val="24"/>
          <w:szCs w:val="24"/>
        </w:rPr>
      </w:pPr>
      <w:r>
        <w:rPr>
          <w:rFonts w:ascii="Arial" w:hAnsi="Arial"/>
          <w:b w:val="false"/>
          <w:bCs w:val="false"/>
          <w:color w:val="000000"/>
          <w:sz w:val="24"/>
          <w:szCs w:val="24"/>
        </w:rPr>
      </w:r>
    </w:p>
    <w:p>
      <w:pPr>
        <w:pStyle w:val="Normal"/>
        <w:jc w:val="left"/>
        <w:rPr>
          <w:rFonts w:ascii="Arial" w:hAnsi="Arial"/>
          <w:b w:val="false"/>
          <w:bCs w:val="false"/>
          <w:color w:val="000000"/>
          <w:sz w:val="16"/>
          <w:szCs w:val="16"/>
        </w:rPr>
      </w:pPr>
      <w:r>
        <w:rPr>
          <w:rFonts w:ascii="Arial" w:hAnsi="Arial"/>
          <w:b w:val="false"/>
          <w:bCs w:val="false"/>
          <w:color w:val="000000"/>
          <w:sz w:val="16"/>
          <w:szCs w:val="16"/>
        </w:rPr>
        <w:t xml:space="preserve">*British National Formulary (BNF), a joint publication of British Medical Journal and the Royal Pharmaceutical Society - </w:t>
      </w:r>
      <w:r>
        <w:rPr>
          <w:rFonts w:ascii="Arial" w:hAnsi="Arial"/>
          <w:b w:val="false"/>
          <w:bCs w:val="false"/>
          <w:color w:val="000000"/>
          <w:sz w:val="16"/>
          <w:szCs w:val="16"/>
        </w:rPr>
        <w:t>https://bnf.nice.org.uk/treatment-summaries/oxygen/</w:t>
      </w:r>
      <w:r>
        <w:br w:type="page"/>
      </w:r>
    </w:p>
    <w:p>
      <w:pPr>
        <w:pStyle w:val="Normal"/>
        <w:jc w:val="left"/>
        <w:rPr>
          <w:rFonts w:ascii="Arial" w:hAnsi="Arial"/>
          <w:b/>
          <w:bCs/>
          <w:sz w:val="24"/>
          <w:szCs w:val="24"/>
        </w:rPr>
      </w:pPr>
      <w:r>
        <w:rPr>
          <w:rFonts w:ascii="Arial" w:hAnsi="Arial"/>
          <w:b/>
          <w:bCs/>
          <w:sz w:val="24"/>
          <w:szCs w:val="24"/>
        </w:rPr>
        <w:t>MaxO2+A Oxygen Analyser</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4275455" cy="2501265"/>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75455" cy="250126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Supplied with an internal sensor (fig.1), the gas is delivered to the device via T-adapter using a flow divertor (fig.2 &amp; 3) connected to the bottom of the device, or alternatively, using a barbed adapter connected to oxygen tubing (fig.4). </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3">
            <wp:simplePos x="0" y="0"/>
            <wp:positionH relativeFrom="column">
              <wp:align>center</wp:align>
            </wp:positionH>
            <wp:positionV relativeFrom="paragraph">
              <wp:posOffset>237490</wp:posOffset>
            </wp:positionV>
            <wp:extent cx="6419850" cy="1163320"/>
            <wp:effectExtent l="0" t="0" r="0" b="0"/>
            <wp:wrapTopAndBottom/>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9850" cy="116332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Automatic calibration to room air on power up.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Expected sensor life: greater than 1,500,000 </w:t>
      </w:r>
      <w:r>
        <w:rPr>
          <w:rFonts w:ascii="Arial" w:hAnsi="Arial"/>
          <w:b w:val="false"/>
          <w:i w:val="false"/>
          <w:color w:val="000000"/>
          <w:sz w:val="24"/>
          <w:szCs w:val="24"/>
        </w:rPr>
        <w:t>oxygen</w:t>
      </w:r>
      <w:r>
        <w:rPr>
          <w:rFonts w:ascii="Arial" w:hAnsi="Arial"/>
          <w:b w:val="false"/>
          <w:i w:val="false"/>
          <w:color w:val="000000"/>
          <w:sz w:val="24"/>
          <w:szCs w:val="24"/>
        </w:rPr>
        <w:t xml:space="preserve">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Internal sensor can be replaced. Part no 0110427 – Max-250+.</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device can be hand held or mounted using an optional V mount assembly (p/n 0121302 – below left), which allows it to connect into a pole mount (p/n 0121181 or 0121182 – below right), also optional. </w:t>
      </w:r>
    </w:p>
    <w:p>
      <w:pPr>
        <w:pStyle w:val="Normal"/>
        <w:jc w:val="center"/>
        <w:rPr>
          <w:rFonts w:ascii="Arial" w:hAnsi="Arial"/>
          <w:b w:val="false"/>
          <w:bCs w:val="false"/>
          <w:color w:val="000000"/>
          <w:sz w:val="16"/>
          <w:szCs w:val="16"/>
        </w:rPr>
      </w:pPr>
      <w:r>
        <w:drawing>
          <wp:anchor behindDoc="0" distT="0" distB="0" distL="0" distR="0" simplePos="0" locked="0" layoutInCell="0" allowOverlap="1" relativeHeight="4">
            <wp:simplePos x="0" y="0"/>
            <wp:positionH relativeFrom="column">
              <wp:posOffset>2543175</wp:posOffset>
            </wp:positionH>
            <wp:positionV relativeFrom="paragraph">
              <wp:posOffset>2540</wp:posOffset>
            </wp:positionV>
            <wp:extent cx="1772920" cy="1772920"/>
            <wp:effectExtent l="0" t="0" r="0" b="0"/>
            <wp:wrapTopAndBottom/>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72920" cy="1772920"/>
                    </a:xfrm>
                    <a:prstGeom prst="rect">
                      <a:avLst/>
                    </a:prstGeom>
                  </pic:spPr>
                </pic:pic>
              </a:graphicData>
            </a:graphic>
          </wp:anchor>
        </w:drawing>
        <w:drawing>
          <wp:anchor behindDoc="0" distT="0" distB="0" distL="0" distR="0" simplePos="0" locked="0" layoutInCell="0" allowOverlap="1" relativeHeight="18">
            <wp:simplePos x="0" y="0"/>
            <wp:positionH relativeFrom="column">
              <wp:posOffset>4498340</wp:posOffset>
            </wp:positionH>
            <wp:positionV relativeFrom="paragraph">
              <wp:posOffset>190500</wp:posOffset>
            </wp:positionV>
            <wp:extent cx="1882140" cy="1568450"/>
            <wp:effectExtent l="0" t="0" r="0" b="0"/>
            <wp:wrapTopAndBottom/>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82140" cy="1568450"/>
                    </a:xfrm>
                    <a:prstGeom prst="rect">
                      <a:avLst/>
                    </a:prstGeom>
                  </pic:spPr>
                </pic:pic>
              </a:graphicData>
            </a:graphic>
          </wp:anchor>
        </w:drawing>
      </w:r>
      <w:r>
        <w:rPr>
          <w:rFonts w:ascii="Arial" w:hAnsi="Arial"/>
          <w:b w:val="false"/>
          <w:bCs w:val="false"/>
          <w:color w:val="000000"/>
          <w:sz w:val="16"/>
          <w:szCs w:val="16"/>
        </w:rPr>
        <w:t>Optional V-Mount Bracket and Pole Mount</w:t>
      </w:r>
      <w:r>
        <w:br w:type="page"/>
      </w:r>
    </w:p>
    <w:p>
      <w:pPr>
        <w:pStyle w:val="Normal"/>
        <w:jc w:val="left"/>
        <w:rPr>
          <w:rFonts w:ascii="Arial" w:hAnsi="Arial"/>
          <w:b/>
          <w:bCs/>
          <w:sz w:val="24"/>
          <w:szCs w:val="24"/>
        </w:rPr>
      </w:pPr>
      <w:r>
        <w:rPr>
          <w:rFonts w:ascii="Arial" w:hAnsi="Arial"/>
          <w:b/>
          <w:bCs/>
          <w:sz w:val="24"/>
          <w:szCs w:val="24"/>
        </w:rPr>
        <w:t>MaxO2+AE Oxygen Analyser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5">
            <wp:simplePos x="0" y="0"/>
            <wp:positionH relativeFrom="column">
              <wp:posOffset>2361565</wp:posOffset>
            </wp:positionH>
            <wp:positionV relativeFrom="paragraph">
              <wp:posOffset>144780</wp:posOffset>
            </wp:positionV>
            <wp:extent cx="4361180" cy="2551430"/>
            <wp:effectExtent l="0" t="0" r="0" b="0"/>
            <wp:wrapTopAndBottom/>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61180" cy="255143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external sensor (fig.1) with a coiled cable, which allows the sensor to connect into T-adapter using a flow divertor (fig.3 and 4).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drawing>
          <wp:anchor behindDoc="0" distT="0" distB="0" distL="0" distR="0" simplePos="0" locked="0" layoutInCell="0" allowOverlap="1" relativeHeight="6">
            <wp:simplePos x="0" y="0"/>
            <wp:positionH relativeFrom="column">
              <wp:align>center</wp:align>
            </wp:positionH>
            <wp:positionV relativeFrom="paragraph">
              <wp:posOffset>518795</wp:posOffset>
            </wp:positionV>
            <wp:extent cx="5489575" cy="1144270"/>
            <wp:effectExtent l="0" t="0" r="0" b="0"/>
            <wp:wrapTopAndBottom/>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9575" cy="1144270"/>
                    </a:xfrm>
                    <a:prstGeom prst="rect">
                      <a:avLst/>
                    </a:prstGeom>
                  </pic:spPr>
                </pic:pic>
              </a:graphicData>
            </a:graphic>
          </wp:anchor>
        </w:drawing>
      </w:r>
      <w:r>
        <w:rPr>
          <w:rFonts w:ascii="Arial" w:hAnsi="Arial"/>
          <w:b w:val="false"/>
          <w:bCs w:val="false"/>
          <w:sz w:val="24"/>
          <w:szCs w:val="24"/>
        </w:rPr>
        <w:t xml:space="preserve">Also supplied with a V-mount bracket (fig.2).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Automatic calibration to room air on power up.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External sensor can be replaced. Part no 0110429 – Max-250E.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device can be hand held or mounted using the included V mount assembly (p/n 0121302 – below left), which allows it to connect into an optional pole mount (p/n 0121181 or 0121182 – below right). </w:t>
      </w:r>
    </w:p>
    <w:p>
      <w:pPr>
        <w:pStyle w:val="Normal"/>
        <w:jc w:val="center"/>
        <w:rPr>
          <w:rFonts w:ascii="Arial" w:hAnsi="Arial"/>
          <w:b w:val="false"/>
          <w:bCs w:val="false"/>
          <w:sz w:val="16"/>
          <w:szCs w:val="16"/>
        </w:rPr>
      </w:pPr>
      <w:r>
        <w:rPr>
          <w:rFonts w:ascii="Arial" w:hAnsi="Arial"/>
          <w:b w:val="false"/>
          <w:bCs w:val="false"/>
          <w:sz w:val="16"/>
          <w:szCs w:val="16"/>
        </w:rPr>
        <w:drawing>
          <wp:anchor behindDoc="0" distT="0" distB="0" distL="0" distR="0" simplePos="0" locked="0" layoutInCell="0" allowOverlap="1" relativeHeight="7">
            <wp:simplePos x="0" y="0"/>
            <wp:positionH relativeFrom="column">
              <wp:posOffset>2604135</wp:posOffset>
            </wp:positionH>
            <wp:positionV relativeFrom="paragraph">
              <wp:posOffset>57150</wp:posOffset>
            </wp:positionV>
            <wp:extent cx="1772920" cy="1772920"/>
            <wp:effectExtent l="0" t="0" r="0" b="0"/>
            <wp:wrapTopAndBottom/>
            <wp:docPr id="7" name="Image3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Copy 1" descr=""/>
                    <pic:cNvPicPr>
                      <a:picLocks noChangeAspect="1" noChangeArrowheads="1"/>
                    </pic:cNvPicPr>
                  </pic:nvPicPr>
                  <pic:blipFill>
                    <a:blip r:embed="rId8"/>
                    <a:stretch>
                      <a:fillRect/>
                    </a:stretch>
                  </pic:blipFill>
                  <pic:spPr bwMode="auto">
                    <a:xfrm>
                      <a:off x="0" y="0"/>
                      <a:ext cx="1772920" cy="1772920"/>
                    </a:xfrm>
                    <a:prstGeom prst="rect">
                      <a:avLst/>
                    </a:prstGeom>
                  </pic:spPr>
                </pic:pic>
              </a:graphicData>
            </a:graphic>
          </wp:anchor>
        </w:drawing>
        <w:drawing>
          <wp:anchor behindDoc="0" distT="0" distB="0" distL="0" distR="0" simplePos="0" locked="0" layoutInCell="0" allowOverlap="1" relativeHeight="17">
            <wp:simplePos x="0" y="0"/>
            <wp:positionH relativeFrom="column">
              <wp:posOffset>4652645</wp:posOffset>
            </wp:positionH>
            <wp:positionV relativeFrom="paragraph">
              <wp:posOffset>314960</wp:posOffset>
            </wp:positionV>
            <wp:extent cx="1734820" cy="1445895"/>
            <wp:effectExtent l="0" t="0" r="0" b="0"/>
            <wp:wrapTopAndBottom/>
            <wp:docPr id="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 descr=""/>
                    <pic:cNvPicPr>
                      <a:picLocks noChangeAspect="1" noChangeArrowheads="1"/>
                    </pic:cNvPicPr>
                  </pic:nvPicPr>
                  <pic:blipFill>
                    <a:blip r:embed="rId9"/>
                    <a:stretch>
                      <a:fillRect/>
                    </a:stretch>
                  </pic:blipFill>
                  <pic:spPr bwMode="auto">
                    <a:xfrm>
                      <a:off x="0" y="0"/>
                      <a:ext cx="1734820" cy="1445895"/>
                    </a:xfrm>
                    <a:prstGeom prst="rect">
                      <a:avLst/>
                    </a:prstGeom>
                  </pic:spPr>
                </pic:pic>
              </a:graphicData>
            </a:graphic>
          </wp:anchor>
        </w:drawing>
      </w:r>
    </w:p>
    <w:p>
      <w:pPr>
        <w:pStyle w:val="Normal"/>
        <w:jc w:val="center"/>
        <w:rPr>
          <w:rFonts w:ascii="Arial" w:hAnsi="Arial"/>
          <w:b w:val="false"/>
          <w:bCs w:val="false"/>
          <w:sz w:val="16"/>
          <w:szCs w:val="16"/>
        </w:rPr>
      </w:pPr>
      <w:r>
        <w:rPr>
          <w:rFonts w:ascii="Arial" w:hAnsi="Arial"/>
          <w:b w:val="false"/>
          <w:bCs w:val="false"/>
          <w:sz w:val="16"/>
          <w:szCs w:val="16"/>
        </w:rPr>
        <w:t>V-Mount Bracket (included) and Pole Mount (optional)</w:t>
      </w:r>
    </w:p>
    <w:p>
      <w:pPr>
        <w:pStyle w:val="Normal"/>
        <w:jc w:val="left"/>
        <w:rPr>
          <w:rFonts w:ascii="Arial" w:hAnsi="Arial"/>
          <w:b/>
          <w:bCs/>
          <w:sz w:val="24"/>
          <w:szCs w:val="24"/>
        </w:rPr>
      </w:pPr>
      <w:r>
        <w:rPr>
          <w:rFonts w:ascii="Arial" w:hAnsi="Arial"/>
          <w:b/>
          <w:bCs/>
          <w:sz w:val="24"/>
          <w:szCs w:val="24"/>
        </w:rPr>
        <w:t>Handi+ Oxygen Analyser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0">
            <wp:simplePos x="0" y="0"/>
            <wp:positionH relativeFrom="column">
              <wp:posOffset>3092450</wp:posOffset>
            </wp:positionH>
            <wp:positionV relativeFrom="paragraph">
              <wp:posOffset>123190</wp:posOffset>
            </wp:positionV>
            <wp:extent cx="3140075" cy="2522855"/>
            <wp:effectExtent l="0" t="0" r="0" b="0"/>
            <wp:wrapTopAndBottom/>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140075" cy="252285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internal sensor, the gas is delivered to the device via T-adapter using a flow divertor (fig.1 &amp; 2) connected to the bottom of the device, or alternatively, using a barbed adapter connected to oxygen tubing (fig.3).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1">
            <wp:simplePos x="0" y="0"/>
            <wp:positionH relativeFrom="column">
              <wp:posOffset>2155825</wp:posOffset>
            </wp:positionH>
            <wp:positionV relativeFrom="paragraph">
              <wp:posOffset>171450</wp:posOffset>
            </wp:positionV>
            <wp:extent cx="4393565" cy="1325880"/>
            <wp:effectExtent l="0" t="0" r="0" b="0"/>
            <wp:wrapTopAndBottom/>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93565" cy="1325880"/>
                    </a:xfrm>
                    <a:prstGeom prst="rect">
                      <a:avLst/>
                    </a:prstGeom>
                  </pic:spPr>
                </pic:pic>
              </a:graphicData>
            </a:graphic>
          </wp:anchor>
        </w:drawing>
      </w:r>
    </w:p>
    <w:p>
      <w:pPr>
        <w:pStyle w:val="Normal"/>
        <w:jc w:val="center"/>
        <w:rPr>
          <w:rFonts w:ascii="Arial" w:hAnsi="Arial"/>
          <w:b w:val="false"/>
          <w:bCs w:val="false"/>
          <w:sz w:val="16"/>
          <w:szCs w:val="16"/>
        </w:rPr>
      </w:pPr>
      <w:r>
        <w:rPr>
          <w:rFonts w:ascii="Arial" w:hAnsi="Arial"/>
          <w:b w:val="false"/>
          <w:bCs w:val="false"/>
          <w:sz w:val="16"/>
          <w:szCs w:val="16"/>
        </w:rP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No alarms: best suited to spot-checking, not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Auto-power off after approximately 80 seconds.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1,850 hours, equates to approximately 74,000 operational cycles.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b w:val="false"/>
          <w:i w:val="false"/>
          <w:i w:val="false"/>
          <w:color w:val="000000"/>
          <w:sz w:val="24"/>
          <w:szCs w:val="24"/>
        </w:rPr>
      </w:pPr>
      <w:r>
        <w:rPr>
          <w:rFonts w:ascii="Arial" w:hAnsi="Arial"/>
          <w:b w:val="false"/>
          <w:i w:val="false"/>
          <w:color w:val="000000"/>
          <w:sz w:val="24"/>
          <w:szCs w:val="24"/>
        </w:rPr>
        <w:t>CE Certified as a medical device and can be used to measure gases being delivered to a patient.</w:t>
      </w:r>
    </w:p>
    <w:p>
      <w:pPr>
        <w:pStyle w:val="Normal"/>
        <w:numPr>
          <w:ilvl w:val="0"/>
          <w:numId w:val="0"/>
        </w:numPr>
        <w:ind w:left="720" w:hanging="0"/>
        <w:rPr>
          <w:rFonts w:ascii="Arial" w:hAnsi="Arial"/>
          <w:sz w:val="24"/>
          <w:szCs w:val="24"/>
        </w:rPr>
      </w:pPr>
      <w:r>
        <w:rPr>
          <w:rFonts w:ascii="Arial" w:hAnsi="Arial"/>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i w:val="false"/>
          <w:i w:val="false"/>
          <w:color w:val="000000"/>
          <w:sz w:val="24"/>
          <w:szCs w:val="24"/>
        </w:rPr>
      </w:pPr>
      <w:r>
        <w:rPr>
          <w:rFonts w:ascii="Arial" w:hAnsi="Arial"/>
          <w:b w:val="false"/>
          <w:bCs w:val="false"/>
          <w:i w:val="false"/>
          <w:color w:val="000000"/>
          <w:sz w:val="24"/>
          <w:szCs w:val="24"/>
        </w:rPr>
        <w:t>Limitations and points to note: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3"/>
        </w:numPr>
        <w:jc w:val="left"/>
        <w:rPr>
          <w:rFonts w:ascii="Arial" w:hAnsi="Arial"/>
          <w:b w:val="false"/>
          <w:bCs w:val="false"/>
          <w:sz w:val="24"/>
          <w:szCs w:val="24"/>
        </w:rPr>
      </w:pPr>
      <w:r>
        <w:rPr>
          <w:rFonts w:ascii="Arial" w:hAnsi="Arial"/>
          <w:b w:val="false"/>
          <w:bCs w:val="false"/>
          <w:i w:val="false"/>
          <w:color w:val="000000"/>
          <w:sz w:val="24"/>
          <w:szCs w:val="24"/>
        </w:rPr>
        <w:t xml:space="preserve">The sensor contains the battery for powering the device, integrated with the oxygen sensor </w:t>
      </w:r>
      <w:r>
        <w:rPr>
          <w:rFonts w:ascii="Arial" w:hAnsi="Arial"/>
          <w:b w:val="false"/>
          <w:bCs w:val="false"/>
          <w:sz w:val="24"/>
          <w:szCs w:val="24"/>
        </w:rPr>
        <w:t xml:space="preserve">that can not be replaced. </w:t>
      </w:r>
    </w:p>
    <w:p>
      <w:pPr>
        <w:pStyle w:val="Normal"/>
        <w:numPr>
          <w:ilvl w:val="0"/>
          <w:numId w:val="0"/>
        </w:numPr>
        <w:ind w:left="720" w:hanging="0"/>
        <w:jc w:val="left"/>
        <w:rPr>
          <w:rFonts w:ascii="Arial" w:hAnsi="Arial"/>
          <w:b w:val="false"/>
          <w:bCs w:val="false"/>
          <w:sz w:val="24"/>
          <w:szCs w:val="24"/>
        </w:rPr>
      </w:pPr>
      <w:r>
        <w:rPr>
          <w:rFonts w:ascii="Arial" w:hAnsi="Arial"/>
          <w:b w:val="false"/>
          <w:bCs w:val="false"/>
          <w:sz w:val="24"/>
          <w:szCs w:val="24"/>
        </w:rPr>
      </w:r>
    </w:p>
    <w:p>
      <w:pPr>
        <w:pStyle w:val="Normal"/>
        <w:numPr>
          <w:ilvl w:val="0"/>
          <w:numId w:val="3"/>
        </w:numPr>
        <w:jc w:val="left"/>
        <w:rPr>
          <w:rFonts w:ascii="Arial" w:hAnsi="Arial"/>
          <w:b w:val="false"/>
          <w:bCs w:val="false"/>
          <w:sz w:val="24"/>
          <w:szCs w:val="24"/>
        </w:rPr>
      </w:pPr>
      <w:r>
        <w:rPr>
          <w:rFonts w:ascii="Arial" w:hAnsi="Arial"/>
          <w:b w:val="false"/>
          <w:bCs w:val="false"/>
          <w:sz w:val="24"/>
          <w:szCs w:val="24"/>
        </w:rPr>
        <w:t>Once the sensor or battery is depleted the whole unit should be disposed of.</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r>
        <w:br w:type="page"/>
      </w:r>
    </w:p>
    <w:p>
      <w:pPr>
        <w:pStyle w:val="Normal"/>
        <w:jc w:val="left"/>
        <w:rPr>
          <w:rFonts w:ascii="Arial" w:hAnsi="Arial"/>
          <w:b/>
          <w:bCs/>
          <w:sz w:val="24"/>
          <w:szCs w:val="24"/>
        </w:rPr>
      </w:pPr>
      <w:r>
        <w:rPr>
          <w:rFonts w:ascii="Arial" w:hAnsi="Arial"/>
          <w:b/>
          <w:bCs/>
          <w:sz w:val="24"/>
          <w:szCs w:val="24"/>
        </w:rPr>
        <w:t>MaxO2 ME Oxygen Monitor</w:t>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8">
            <wp:simplePos x="0" y="0"/>
            <wp:positionH relativeFrom="column">
              <wp:posOffset>1868170</wp:posOffset>
            </wp:positionH>
            <wp:positionV relativeFrom="paragraph">
              <wp:posOffset>104140</wp:posOffset>
            </wp:positionV>
            <wp:extent cx="5516245" cy="3227705"/>
            <wp:effectExtent l="0" t="0" r="0" b="0"/>
            <wp:wrapTopAndBottom/>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2"/>
                    <a:stretch>
                      <a:fillRect/>
                    </a:stretch>
                  </pic:blipFill>
                  <pic:spPr bwMode="auto">
                    <a:xfrm>
                      <a:off x="0" y="0"/>
                      <a:ext cx="5516245" cy="322770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t xml:space="preserve">Supplied with an external sensor (fig.1) that connects to the device using a coiled cable, the sensor connects into T-adapter using a flow divertor (fig.2 and 3).  </w:t>
      </w:r>
    </w:p>
    <w:p>
      <w:pPr>
        <w:pStyle w:val="Normal"/>
        <w:jc w:val="center"/>
        <w:rPr>
          <w:rFonts w:ascii="Arial" w:hAnsi="Arial"/>
          <w:b w:val="false"/>
          <w:bCs w:val="false"/>
          <w:sz w:val="16"/>
          <w:szCs w:val="16"/>
        </w:rPr>
      </w:pPr>
      <w:r>
        <w:drawing>
          <wp:anchor behindDoc="0" distT="0" distB="0" distL="0" distR="0" simplePos="0" locked="0" layoutInCell="0" allowOverlap="1" relativeHeight="9">
            <wp:simplePos x="0" y="0"/>
            <wp:positionH relativeFrom="column">
              <wp:align>center</wp:align>
            </wp:positionH>
            <wp:positionV relativeFrom="paragraph">
              <wp:posOffset>26670</wp:posOffset>
            </wp:positionV>
            <wp:extent cx="5073015" cy="1263650"/>
            <wp:effectExtent l="0" t="0" r="0" b="0"/>
            <wp:wrapTopAndBottom/>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3"/>
                    <a:stretch>
                      <a:fillRect/>
                    </a:stretch>
                  </pic:blipFill>
                  <pic:spPr bwMode="auto">
                    <a:xfrm>
                      <a:off x="0" y="0"/>
                      <a:ext cx="5073015" cy="1263650"/>
                    </a:xfrm>
                    <a:prstGeom prst="rect">
                      <a:avLst/>
                    </a:prstGeom>
                  </pic:spPr>
                </pic:pic>
              </a:graphicData>
            </a:graphic>
          </wp:anchor>
        </w:drawing>
      </w:r>
      <w:r>
        <w:rPr>
          <w:rFonts w:ascii="Arial" w:hAnsi="Arial"/>
          <w:b w:val="false"/>
          <w:bCs w:val="false"/>
          <w:sz w:val="16"/>
          <w:szCs w:val="16"/>
        </w:rPr>
        <w:br/>
        <w:t>Accessories included with device</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User adjustable high and low alarms (15 – 99% O2): ideally suited to continuous monitoring.</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 xml:space="preserve">Smart Alarm Key: automatically sets set the high-low alarm window to ±3% above and below the current oxygen level. </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Can be calibrated in 100% in oxygen – will automatically detect air or oxygen when the CAL button is pressed.</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Long battery life: approximately 5,000 hours with continuous use.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Accuracy: 1% constant temperature, relative humidity and pressure when calibrated at full scale.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Response time: &lt;15 seconds to show a 90% change in value.</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rPr>
          <w:rFonts w:ascii="Arial" w:hAnsi="Arial"/>
          <w:sz w:val="24"/>
          <w:szCs w:val="24"/>
        </w:rPr>
      </w:pPr>
      <w:r>
        <w:rPr>
          <w:rFonts w:ascii="Arial" w:hAnsi="Arial"/>
          <w:b w:val="false"/>
          <w:i w:val="false"/>
          <w:color w:val="000000"/>
          <w:sz w:val="24"/>
          <w:szCs w:val="24"/>
        </w:rPr>
        <w:t>Expected sensor life: greater than 1,500,000 O2 percent hours minimum (2-year in typical medical applications).</w:t>
      </w:r>
    </w:p>
    <w:p>
      <w:pPr>
        <w:pStyle w:val="Normal"/>
        <w:numPr>
          <w:ilvl w:val="0"/>
          <w:numId w:val="0"/>
        </w:numPr>
        <w:ind w:left="720" w:hanging="0"/>
        <w:rPr>
          <w:rFonts w:ascii="Arial" w:hAnsi="Arial"/>
          <w:sz w:val="24"/>
          <w:szCs w:val="24"/>
        </w:rPr>
      </w:pPr>
      <w:r>
        <w:rPr>
          <w:rFonts w:ascii="Arial" w:hAnsi="Arial"/>
          <w:sz w:val="24"/>
          <w:szCs w:val="24"/>
        </w:rPr>
      </w:r>
    </w:p>
    <w:p>
      <w:pPr>
        <w:pStyle w:val="Normal"/>
        <w:numPr>
          <w:ilvl w:val="0"/>
          <w:numId w:val="2"/>
        </w:numPr>
        <w:jc w:val="left"/>
        <w:rPr>
          <w:rFonts w:ascii="Arial" w:hAnsi="Arial"/>
          <w:b w:val="false"/>
          <w:bCs w:val="false"/>
          <w:sz w:val="24"/>
          <w:szCs w:val="24"/>
        </w:rPr>
      </w:pPr>
      <w:r>
        <w:rPr>
          <w:rFonts w:ascii="Arial" w:hAnsi="Arial"/>
          <w:b w:val="false"/>
          <w:bCs w:val="false"/>
          <w:i w:val="false"/>
          <w:color w:val="000000"/>
          <w:sz w:val="24"/>
          <w:szCs w:val="24"/>
        </w:rPr>
        <w:t>External sensor can be replaced. Part no 0110452 – Max-550E.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The device can be used hand held, stood up using its integral kickstand or mounted into an optional pole mount (p/n 0121181 or 0121182 – below). Note: the kickstand in the tucked away position acts as a dovetail V-mount.</w:t>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drawing>
          <wp:anchor behindDoc="0" distT="0" distB="0" distL="0" distR="0" simplePos="0" locked="0" layoutInCell="0" allowOverlap="1" relativeHeight="19">
            <wp:simplePos x="0" y="0"/>
            <wp:positionH relativeFrom="column">
              <wp:align>center</wp:align>
            </wp:positionH>
            <wp:positionV relativeFrom="paragraph">
              <wp:posOffset>85725</wp:posOffset>
            </wp:positionV>
            <wp:extent cx="1882140" cy="1568450"/>
            <wp:effectExtent l="0" t="0" r="0" b="0"/>
            <wp:wrapTopAndBottom/>
            <wp:docPr id="13" name="Image4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Copy 1" descr=""/>
                    <pic:cNvPicPr>
                      <a:picLocks noChangeAspect="1" noChangeArrowheads="1"/>
                    </pic:cNvPicPr>
                  </pic:nvPicPr>
                  <pic:blipFill>
                    <a:blip r:embed="rId14"/>
                    <a:stretch>
                      <a:fillRect/>
                    </a:stretch>
                  </pic:blipFill>
                  <pic:spPr bwMode="auto">
                    <a:xfrm>
                      <a:off x="0" y="0"/>
                      <a:ext cx="1882140" cy="1568450"/>
                    </a:xfrm>
                    <a:prstGeom prst="rect">
                      <a:avLst/>
                    </a:prstGeom>
                  </pic:spPr>
                </pic:pic>
              </a:graphicData>
            </a:graphic>
          </wp:anchor>
        </w:drawing>
      </w:r>
    </w:p>
    <w:p>
      <w:pPr>
        <w:pStyle w:val="Normal"/>
        <w:jc w:val="center"/>
        <w:rPr>
          <w:rFonts w:ascii="Arial" w:hAnsi="Arial"/>
          <w:b w:val="false"/>
          <w:bCs w:val="false"/>
          <w:color w:val="000000"/>
          <w:sz w:val="16"/>
          <w:szCs w:val="16"/>
        </w:rPr>
      </w:pPr>
      <w:r>
        <w:rPr>
          <w:rFonts w:ascii="Arial" w:hAnsi="Arial"/>
          <w:b w:val="false"/>
          <w:bCs w:val="false"/>
          <w:color w:val="000000"/>
          <w:sz w:val="16"/>
          <w:szCs w:val="16"/>
        </w:rPr>
        <w:t>Optional Pole Mount</w:t>
      </w:r>
      <w:r>
        <w:br w:type="page"/>
      </w:r>
    </w:p>
    <w:p>
      <w:pPr>
        <w:pStyle w:val="Normal"/>
        <w:jc w:val="left"/>
        <w:rPr>
          <w:rFonts w:ascii="Arial" w:hAnsi="Arial"/>
          <w:b/>
          <w:bCs/>
          <w:sz w:val="24"/>
          <w:szCs w:val="24"/>
        </w:rPr>
      </w:pPr>
      <w:r>
        <w:rPr>
          <w:rFonts w:ascii="Arial" w:hAnsi="Arial"/>
          <w:b/>
          <w:bCs/>
          <w:sz w:val="24"/>
          <w:szCs w:val="24"/>
        </w:rPr>
        <w:t>UltraMax O2 Oxygen Analyser</w:t>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16">
            <wp:simplePos x="0" y="0"/>
            <wp:positionH relativeFrom="column">
              <wp:posOffset>1924685</wp:posOffset>
            </wp:positionH>
            <wp:positionV relativeFrom="paragraph">
              <wp:posOffset>183515</wp:posOffset>
            </wp:positionV>
            <wp:extent cx="5187950" cy="3328670"/>
            <wp:effectExtent l="0" t="0" r="0" b="0"/>
            <wp:wrapTopAndBottom/>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5"/>
                    <a:stretch>
                      <a:fillRect/>
                    </a:stretch>
                  </pic:blipFill>
                  <pic:spPr bwMode="auto">
                    <a:xfrm>
                      <a:off x="0" y="0"/>
                      <a:ext cx="5187950" cy="3328670"/>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Designed for use with oxygen concentrators, the UltraMax O2 uses ultrasonic technology to measure the level of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The built-in ultrasonic sensor is designed to last the life of the analyser, so there is no need to replace sensors.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gas is delivered into the device via oxygen tubing connected to the gas sample inlet. </w:t>
      </w:r>
      <w:r>
        <w:br w:type="page"/>
      </w:r>
    </w:p>
    <w:p>
      <w:pPr>
        <w:pStyle w:val="Normal"/>
        <w:jc w:val="left"/>
        <w:rPr>
          <w:rFonts w:ascii="Arial" w:hAnsi="Arial"/>
          <w:b w:val="false"/>
          <w:bCs w:val="false"/>
          <w:sz w:val="24"/>
          <w:szCs w:val="24"/>
        </w:rPr>
      </w:pPr>
      <w:r>
        <w:rPr>
          <w:rFonts w:ascii="Arial" w:hAnsi="Arial"/>
          <w:b w:val="false"/>
          <w:bCs w:val="false"/>
          <w:sz w:val="24"/>
          <w:szCs w:val="24"/>
        </w:rPr>
        <w:t>Features: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Specifically designed use with oxygen concentrators, it is not intended for continuous monitoring.</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Low cost of ownership.</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Measures flow rate and oxygen concentration simultaneously.</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 xml:space="preserve">Switches to measuring pressure by occluding the gas outlet port. </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Oxygen measurement range: 20.9 – 96%.</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Flow measurement range: 0 – 10 L/min.</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bCs/>
          <w:sz w:val="24"/>
          <w:szCs w:val="24"/>
        </w:rPr>
      </w:pPr>
      <w:r>
        <w:rPr>
          <w:rFonts w:ascii="Arial" w:hAnsi="Arial"/>
          <w:b w:val="false"/>
          <w:bCs w:val="false"/>
          <w:sz w:val="24"/>
          <w:szCs w:val="24"/>
        </w:rPr>
        <w:t>Pressure measurement range: 0.5 – 50 PSI / 3.4 – 344 kPa.</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Fast warm up time: &lt; 1 second.</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4"/>
        </w:numPr>
        <w:jc w:val="left"/>
        <w:rPr>
          <w:rFonts w:ascii="Arial" w:hAnsi="Arial"/>
          <w:b w:val="false"/>
          <w:bCs w:val="false"/>
          <w:sz w:val="24"/>
          <w:szCs w:val="24"/>
        </w:rPr>
      </w:pPr>
      <w:r>
        <w:rPr>
          <w:rFonts w:ascii="Arial" w:hAnsi="Arial"/>
          <w:b w:val="false"/>
          <w:bCs w:val="false"/>
          <w:sz w:val="24"/>
          <w:szCs w:val="24"/>
        </w:rPr>
        <w:t>Long battery Life: ≥ 1,100 hours (16,500 read cycles).</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Points to note: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The ultrasound technology is calibrated to measure the oxygen-enriched gas mixture from an oxygen concentrator, it is not suitable for use with medical grade oxygen as this may lead to errors in the readings.</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Not intended to be used to measure oxygen being delivered to a patient.</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For spot-checking; not designed for continuous monitoring.</w:t>
      </w:r>
    </w:p>
    <w:p>
      <w:pPr>
        <w:pStyle w:val="Normal"/>
        <w:numPr>
          <w:ilvl w:val="0"/>
          <w:numId w:val="0"/>
        </w:numPr>
        <w:ind w:left="720" w:hanging="0"/>
        <w:jc w:val="left"/>
        <w:rPr>
          <w:rFonts w:ascii="Arial" w:hAnsi="Arial"/>
          <w:b/>
          <w:bCs/>
          <w:sz w:val="24"/>
          <w:szCs w:val="24"/>
        </w:rPr>
      </w:pPr>
      <w:r>
        <w:rPr>
          <w:rFonts w:ascii="Arial" w:hAnsi="Arial"/>
          <w:b/>
          <w:bCs/>
          <w:sz w:val="24"/>
          <w:szCs w:val="24"/>
        </w:rPr>
      </w:r>
    </w:p>
    <w:p>
      <w:pPr>
        <w:pStyle w:val="Normal"/>
        <w:numPr>
          <w:ilvl w:val="0"/>
          <w:numId w:val="5"/>
        </w:numPr>
        <w:jc w:val="left"/>
        <w:rPr>
          <w:rFonts w:ascii="Arial" w:hAnsi="Arial"/>
          <w:b w:val="false"/>
          <w:bCs w:val="false"/>
          <w:sz w:val="24"/>
          <w:szCs w:val="24"/>
        </w:rPr>
      </w:pPr>
      <w:r>
        <w:rPr>
          <w:rFonts w:ascii="Arial" w:hAnsi="Arial"/>
          <w:b w:val="false"/>
          <w:bCs w:val="false"/>
          <w:sz w:val="24"/>
          <w:szCs w:val="24"/>
        </w:rPr>
        <w:t>Intended to be used in an environment where oxygen concentrators are being serviced or repaired.</w:t>
      </w:r>
      <w:r>
        <w:br w:type="page"/>
      </w:r>
    </w:p>
    <w:p>
      <w:pPr>
        <w:pStyle w:val="Normal"/>
        <w:jc w:val="left"/>
        <w:rPr>
          <w:rFonts w:ascii="Arial" w:hAnsi="Arial"/>
          <w:b/>
          <w:bCs/>
          <w:sz w:val="24"/>
          <w:szCs w:val="24"/>
        </w:rPr>
      </w:pPr>
      <w:r>
        <w:rPr>
          <w:rFonts w:ascii="Arial" w:hAnsi="Arial"/>
          <w:b/>
          <w:bCs/>
          <w:sz w:val="24"/>
          <w:szCs w:val="24"/>
        </w:rPr>
        <w:t>Automotive Versions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Maxtec also manufactures variants for measuring nitrogen in automotive applications, where nitrogen is sometimes used as a filling gas for tyres to offer superior performance. </w:t>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0">
            <wp:simplePos x="0" y="0"/>
            <wp:positionH relativeFrom="column">
              <wp:posOffset>6288405</wp:posOffset>
            </wp:positionH>
            <wp:positionV relativeFrom="paragraph">
              <wp:posOffset>981710</wp:posOffset>
            </wp:positionV>
            <wp:extent cx="2278380" cy="1762125"/>
            <wp:effectExtent l="0" t="0" r="0" b="0"/>
            <wp:wrapTopAndBottom/>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6"/>
                    <a:stretch>
                      <a:fillRect/>
                    </a:stretch>
                  </pic:blipFill>
                  <pic:spPr bwMode="auto">
                    <a:xfrm>
                      <a:off x="0" y="0"/>
                      <a:ext cx="2278380" cy="1762125"/>
                    </a:xfrm>
                    <a:prstGeom prst="rect">
                      <a:avLst/>
                    </a:prstGeom>
                  </pic:spPr>
                </pic:pic>
              </a:graphicData>
            </a:graphic>
          </wp:anchor>
        </w:drawing>
        <w:drawing>
          <wp:anchor behindDoc="0" distT="0" distB="0" distL="0" distR="0" simplePos="0" locked="0" layoutInCell="0" allowOverlap="1" relativeHeight="21">
            <wp:simplePos x="0" y="0"/>
            <wp:positionH relativeFrom="column">
              <wp:posOffset>509270</wp:posOffset>
            </wp:positionH>
            <wp:positionV relativeFrom="paragraph">
              <wp:posOffset>138430</wp:posOffset>
            </wp:positionV>
            <wp:extent cx="5097780" cy="3114040"/>
            <wp:effectExtent l="0" t="0" r="0" b="0"/>
            <wp:wrapTopAndBottom/>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7"/>
                    <a:stretch>
                      <a:fillRect/>
                    </a:stretch>
                  </pic:blipFill>
                  <pic:spPr bwMode="auto">
                    <a:xfrm>
                      <a:off x="0" y="0"/>
                      <a:ext cx="5097780" cy="3114040"/>
                    </a:xfrm>
                    <a:prstGeom prst="rect">
                      <a:avLst/>
                    </a:prstGeom>
                  </pic:spPr>
                </pic:pic>
              </a:graphicData>
            </a:graphic>
          </wp:anchor>
        </w:drawing>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These devices don’t actually measure nitrogen, which is a difficult gas to measure, technically they measure ‘non-oxygen gases’ by subtracting the percentage oxygen reading from 100%. For this application, this method is sufficient.</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Note: currently, we have no means of connecting these analysers to tyres as the tyre chuck that Maxtec previously supplied has been discontinued. We can only supply these if the customer already has the means to connect them i.e. when replacing a similar device. </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val="false"/>
          <w:bCs w:val="false"/>
          <w:sz w:val="24"/>
          <w:szCs w:val="24"/>
        </w:rPr>
        <w:t xml:space="preserve">Enquiries for these items should be referred to the Technical Support Manager, Sales Manager or Commercial &amp; Technical Director. </w:t>
      </w:r>
    </w:p>
    <w:p>
      <w:pPr>
        <w:pStyle w:val="Normal"/>
        <w:jc w:val="left"/>
        <w:rPr>
          <w:rFonts w:ascii="Arial" w:hAnsi="Arial"/>
          <w:b/>
          <w:bCs/>
          <w:sz w:val="24"/>
          <w:szCs w:val="24"/>
        </w:rPr>
      </w:pPr>
      <w:r>
        <w:rPr>
          <w:rFonts w:ascii="Arial" w:hAnsi="Arial"/>
          <w:b/>
          <w:bCs/>
          <w:sz w:val="24"/>
          <w:szCs w:val="24"/>
        </w:rPr>
      </w:r>
      <w:r>
        <w:br w:type="page"/>
      </w:r>
    </w:p>
    <w:p>
      <w:pPr>
        <w:pStyle w:val="Normal"/>
        <w:jc w:val="left"/>
        <w:rPr>
          <w:rFonts w:ascii="Arial" w:hAnsi="Arial"/>
          <w:b/>
          <w:bCs/>
          <w:sz w:val="24"/>
          <w:szCs w:val="24"/>
        </w:rPr>
      </w:pPr>
      <w:r>
        <w:rPr>
          <w:rFonts w:ascii="Arial" w:hAnsi="Arial"/>
          <w:b/>
          <w:bCs/>
          <w:sz w:val="24"/>
          <w:szCs w:val="24"/>
        </w:rPr>
        <w:t>Scuba Versions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Maxtec also manufactures variants for scuba diving applications.</w:t>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drawing>
          <wp:anchor behindDoc="0" distT="0" distB="0" distL="0" distR="0" simplePos="0" locked="0" layoutInCell="0" allowOverlap="1" relativeHeight="22">
            <wp:simplePos x="0" y="0"/>
            <wp:positionH relativeFrom="column">
              <wp:posOffset>55245</wp:posOffset>
            </wp:positionH>
            <wp:positionV relativeFrom="paragraph">
              <wp:posOffset>123825</wp:posOffset>
            </wp:positionV>
            <wp:extent cx="3323590" cy="2117090"/>
            <wp:effectExtent l="0" t="0" r="0" b="0"/>
            <wp:wrapTopAndBottom/>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8"/>
                    <a:stretch>
                      <a:fillRect/>
                    </a:stretch>
                  </pic:blipFill>
                  <pic:spPr bwMode="auto">
                    <a:xfrm>
                      <a:off x="0" y="0"/>
                      <a:ext cx="3323590" cy="2117090"/>
                    </a:xfrm>
                    <a:prstGeom prst="rect">
                      <a:avLst/>
                    </a:prstGeom>
                  </pic:spPr>
                </pic:pic>
              </a:graphicData>
            </a:graphic>
          </wp:anchor>
        </w:drawing>
        <w:drawing>
          <wp:anchor behindDoc="0" distT="0" distB="0" distL="0" distR="0" simplePos="0" locked="0" layoutInCell="0" allowOverlap="1" relativeHeight="23">
            <wp:simplePos x="0" y="0"/>
            <wp:positionH relativeFrom="column">
              <wp:posOffset>3436620</wp:posOffset>
            </wp:positionH>
            <wp:positionV relativeFrom="paragraph">
              <wp:posOffset>248920</wp:posOffset>
            </wp:positionV>
            <wp:extent cx="3082290" cy="2030730"/>
            <wp:effectExtent l="0" t="0" r="0" b="0"/>
            <wp:wrapTopAndBottom/>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9"/>
                    <a:stretch>
                      <a:fillRect/>
                    </a:stretch>
                  </pic:blipFill>
                  <pic:spPr bwMode="auto">
                    <a:xfrm>
                      <a:off x="0" y="0"/>
                      <a:ext cx="3082290" cy="2030730"/>
                    </a:xfrm>
                    <a:prstGeom prst="rect">
                      <a:avLst/>
                    </a:prstGeom>
                  </pic:spPr>
                </pic:pic>
              </a:graphicData>
            </a:graphic>
          </wp:anchor>
        </w:drawing>
        <w:drawing>
          <wp:anchor behindDoc="0" distT="0" distB="0" distL="0" distR="0" simplePos="0" locked="0" layoutInCell="0" allowOverlap="1" relativeHeight="24">
            <wp:simplePos x="0" y="0"/>
            <wp:positionH relativeFrom="column">
              <wp:posOffset>6667500</wp:posOffset>
            </wp:positionH>
            <wp:positionV relativeFrom="paragraph">
              <wp:posOffset>433070</wp:posOffset>
            </wp:positionV>
            <wp:extent cx="2520315" cy="1914525"/>
            <wp:effectExtent l="0" t="0" r="0" b="0"/>
            <wp:wrapSquare wrapText="largest"/>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20"/>
                    <a:stretch>
                      <a:fillRect/>
                    </a:stretch>
                  </pic:blipFill>
                  <pic:spPr bwMode="auto">
                    <a:xfrm>
                      <a:off x="0" y="0"/>
                      <a:ext cx="2520315" cy="1914525"/>
                    </a:xfrm>
                    <a:prstGeom prst="rect">
                      <a:avLst/>
                    </a:prstGeom>
                  </pic:spPr>
                </pic:pic>
              </a:graphicData>
            </a:graphic>
          </wp:anchor>
        </w:drawing>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bCs/>
          <w:sz w:val="24"/>
          <w:szCs w:val="24"/>
        </w:rPr>
      </w:pPr>
      <w:r>
        <w:rPr>
          <w:rFonts w:ascii="Arial" w:hAnsi="Arial"/>
          <w:b/>
          <w:bCs/>
          <w:sz w:val="24"/>
          <w:szCs w:val="24"/>
        </w:rPr>
      </w:r>
    </w:p>
    <w:p>
      <w:pPr>
        <w:pStyle w:val="Normal"/>
        <w:jc w:val="left"/>
        <w:rPr>
          <w:rFonts w:ascii="Arial" w:hAnsi="Arial"/>
          <w:b w:val="false"/>
          <w:bCs w:val="false"/>
          <w:sz w:val="24"/>
          <w:szCs w:val="24"/>
        </w:rPr>
      </w:pPr>
      <w:r>
        <w:rPr>
          <w:rFonts w:ascii="Arial" w:hAnsi="Arial"/>
          <w:b w:val="false"/>
          <w:bCs w:val="false"/>
          <w:sz w:val="24"/>
          <w:szCs w:val="24"/>
        </w:rPr>
        <w:t>Enquiries for these devices should be handled as Vandagraph enquiries.</w:t>
      </w:r>
      <w:r>
        <w:br w:type="page"/>
      </w:r>
    </w:p>
    <w:p>
      <w:pPr>
        <w:pStyle w:val="Normal"/>
        <w:jc w:val="left"/>
        <w:rPr>
          <w:rFonts w:ascii="Arial" w:hAnsi="Arial"/>
          <w:b/>
          <w:bCs/>
          <w:sz w:val="24"/>
          <w:szCs w:val="24"/>
        </w:rPr>
      </w:pPr>
      <w:r>
        <w:rPr>
          <w:rFonts w:ascii="Arial" w:hAnsi="Arial"/>
          <w:b/>
          <w:bCs/>
          <w:sz w:val="24"/>
          <w:szCs w:val="24"/>
        </w:rPr>
        <w:t>Connecting oxygen monitors into gas circuits</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Maxtec analysers and monitors (with the exception of the UltraMax O2) are supplied with a blue T-adapter and a flow diverter. The flow diverter screws onto the end of the sensor and allows connection into the T-port of the T-adapter, which is 15 mm I.D.</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drawing>
          <wp:anchor behindDoc="0" distT="0" distB="0" distL="0" distR="0" simplePos="0" locked="0" layoutInCell="0" allowOverlap="1" relativeHeight="12">
            <wp:simplePos x="0" y="0"/>
            <wp:positionH relativeFrom="column">
              <wp:posOffset>2020570</wp:posOffset>
            </wp:positionH>
            <wp:positionV relativeFrom="paragraph">
              <wp:posOffset>135890</wp:posOffset>
            </wp:positionV>
            <wp:extent cx="2095500" cy="1547495"/>
            <wp:effectExtent l="0" t="0" r="0" b="0"/>
            <wp:wrapTopAndBottom/>
            <wp:docPr id="20" name="Image7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Copy 1" descr=""/>
                    <pic:cNvPicPr>
                      <a:picLocks noChangeAspect="1" noChangeArrowheads="1"/>
                    </pic:cNvPicPr>
                  </pic:nvPicPr>
                  <pic:blipFill>
                    <a:blip r:embed="rId21"/>
                    <a:stretch>
                      <a:fillRect/>
                    </a:stretch>
                  </pic:blipFill>
                  <pic:spPr bwMode="auto">
                    <a:xfrm>
                      <a:off x="0" y="0"/>
                      <a:ext cx="2095500" cy="1547495"/>
                    </a:xfrm>
                    <a:prstGeom prst="rect">
                      <a:avLst/>
                    </a:prstGeom>
                  </pic:spPr>
                </pic:pic>
              </a:graphicData>
            </a:graphic>
          </wp:anchor>
        </w:drawing>
        <w:drawing>
          <wp:anchor behindDoc="0" distT="0" distB="0" distL="0" distR="0" simplePos="0" locked="0" layoutInCell="0" allowOverlap="1" relativeHeight="13">
            <wp:simplePos x="0" y="0"/>
            <wp:positionH relativeFrom="column">
              <wp:posOffset>4734560</wp:posOffset>
            </wp:positionH>
            <wp:positionV relativeFrom="paragraph">
              <wp:posOffset>198120</wp:posOffset>
            </wp:positionV>
            <wp:extent cx="2232660" cy="1476375"/>
            <wp:effectExtent l="0" t="0" r="0" b="0"/>
            <wp:wrapTopAndBottom/>
            <wp:docPr id="21" name="Image8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Copy 1" descr=""/>
                    <pic:cNvPicPr>
                      <a:picLocks noChangeAspect="1" noChangeArrowheads="1"/>
                    </pic:cNvPicPr>
                  </pic:nvPicPr>
                  <pic:blipFill>
                    <a:blip r:embed="rId22"/>
                    <a:srcRect l="0" t="17052" r="0" b="16806"/>
                    <a:stretch>
                      <a:fillRect/>
                    </a:stretch>
                  </pic:blipFill>
                  <pic:spPr bwMode="auto">
                    <a:xfrm>
                      <a:off x="0" y="0"/>
                      <a:ext cx="2232660" cy="1476375"/>
                    </a:xfrm>
                    <a:prstGeom prst="rect">
                      <a:avLst/>
                    </a:prstGeom>
                  </pic:spPr>
                </pic:pic>
              </a:graphicData>
            </a:graphic>
          </wp:anchor>
        </w:drawing>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The T-adapter has a 22 mm I.D. port and a 22 mm O.D. port, allowing it to connect into standard 22 mm ventilator tubing.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Users may want to connect into narrow bore oxygen tubing, for this we can offer a Perfusion Adapter Kit (p/n 0120112 below left).</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drawing>
          <wp:anchor behindDoc="0" distT="0" distB="0" distL="0" distR="0" simplePos="0" locked="0" layoutInCell="0" allowOverlap="1" relativeHeight="14">
            <wp:simplePos x="0" y="0"/>
            <wp:positionH relativeFrom="column">
              <wp:posOffset>2060575</wp:posOffset>
            </wp:positionH>
            <wp:positionV relativeFrom="paragraph">
              <wp:posOffset>341630</wp:posOffset>
            </wp:positionV>
            <wp:extent cx="1739265" cy="1739265"/>
            <wp:effectExtent l="0" t="0" r="0" b="0"/>
            <wp:wrapTopAndBottom/>
            <wp:docPr id="22" name="Image9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Copy 1" descr=""/>
                    <pic:cNvPicPr>
                      <a:picLocks noChangeAspect="1" noChangeArrowheads="1"/>
                    </pic:cNvPicPr>
                  </pic:nvPicPr>
                  <pic:blipFill>
                    <a:blip r:embed="rId23"/>
                    <a:stretch>
                      <a:fillRect/>
                    </a:stretch>
                  </pic:blipFill>
                  <pic:spPr bwMode="auto">
                    <a:xfrm>
                      <a:off x="0" y="0"/>
                      <a:ext cx="1739265" cy="1739265"/>
                    </a:xfrm>
                    <a:prstGeom prst="rect">
                      <a:avLst/>
                    </a:prstGeom>
                  </pic:spPr>
                </pic:pic>
              </a:graphicData>
            </a:graphic>
          </wp:anchor>
        </w:drawing>
        <w:drawing>
          <wp:anchor behindDoc="0" distT="0" distB="0" distL="0" distR="0" simplePos="0" locked="0" layoutInCell="0" allowOverlap="1" relativeHeight="15">
            <wp:simplePos x="0" y="0"/>
            <wp:positionH relativeFrom="column">
              <wp:posOffset>4583430</wp:posOffset>
            </wp:positionH>
            <wp:positionV relativeFrom="paragraph">
              <wp:posOffset>329565</wp:posOffset>
            </wp:positionV>
            <wp:extent cx="2594610" cy="1729740"/>
            <wp:effectExtent l="0" t="0" r="0" b="0"/>
            <wp:wrapSquare wrapText="largest"/>
            <wp:docPr id="23" name="Image10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Copy 1" descr=""/>
                    <pic:cNvPicPr>
                      <a:picLocks noChangeAspect="1" noChangeArrowheads="1"/>
                    </pic:cNvPicPr>
                  </pic:nvPicPr>
                  <pic:blipFill>
                    <a:blip r:embed="rId24"/>
                    <a:stretch>
                      <a:fillRect/>
                    </a:stretch>
                  </pic:blipFill>
                  <pic:spPr bwMode="auto">
                    <a:xfrm>
                      <a:off x="0" y="0"/>
                      <a:ext cx="2594610" cy="1729740"/>
                    </a:xfrm>
                    <a:prstGeom prst="rect">
                      <a:avLst/>
                    </a:prstGeom>
                  </pic:spPr>
                </pic:pic>
              </a:graphicData>
            </a:graphic>
          </wp:anchor>
        </w:drawing>
      </w:r>
      <w:r>
        <w:rPr>
          <w:rFonts w:ascii="Arial" w:hAnsi="Arial"/>
          <w:b w:val="false"/>
          <w:bCs w:val="false"/>
          <w:sz w:val="24"/>
          <w:szCs w:val="24"/>
        </w:rPr>
        <w:t>To connect to the output from an oxygen concentrator, we can offer the Oxygen Barbed Adapter (p/n 0120120 below right).</w:t>
      </w:r>
      <w:r>
        <w:br w:type="page"/>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bCs/>
          <w:sz w:val="24"/>
          <w:szCs w:val="24"/>
        </w:rPr>
      </w:pPr>
      <w:r>
        <w:rPr>
          <w:rFonts w:ascii="Arial" w:hAnsi="Arial"/>
          <w:b/>
          <w:bCs/>
          <w:sz w:val="24"/>
          <w:szCs w:val="24"/>
        </w:rPr>
        <w:t>Some points to note regarding calibration and sensor life</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Oxygen sensors measure the </w:t>
      </w:r>
      <w:r>
        <w:rPr>
          <w:rFonts w:ascii="Arial" w:hAnsi="Arial"/>
          <w:b/>
          <w:bCs/>
          <w:color w:val="2A6099"/>
          <w:sz w:val="24"/>
          <w:szCs w:val="24"/>
        </w:rPr>
        <w:t>partial pressure</w:t>
      </w:r>
      <w:r>
        <w:rPr>
          <w:rFonts w:ascii="Arial" w:hAnsi="Arial"/>
          <w:b w:val="false"/>
          <w:bCs w:val="false"/>
          <w:sz w:val="24"/>
          <w:szCs w:val="24"/>
        </w:rPr>
        <w:t xml:space="preserve"> of oxygen and are pressure sensitive.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An increase in atmospheric pressure will cause an increase in the displayed oxygen reading and a decrease in atmospheric pressure will result in a lower reading.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Atmospheric pressure varies with changing weather conditions, so oxygen analysers and monitors should be calibrated on a regular basis. </w:t>
      </w:r>
      <w:r>
        <w:rPr>
          <w:rFonts w:ascii="Arial" w:hAnsi="Arial"/>
          <w:b w:val="false"/>
          <w:bCs w:val="false"/>
          <w:sz w:val="24"/>
          <w:szCs w:val="24"/>
        </w:rPr>
        <w:t>Maxtec</w:t>
      </w:r>
      <w:r>
        <w:rPr>
          <w:rFonts w:ascii="Arial" w:hAnsi="Arial"/>
          <w:b w:val="false"/>
          <w:bCs w:val="false"/>
          <w:sz w:val="24"/>
          <w:szCs w:val="24"/>
        </w:rPr>
        <w:t xml:space="preserve"> do</w:t>
      </w:r>
      <w:r>
        <w:rPr>
          <w:rFonts w:ascii="Arial" w:hAnsi="Arial"/>
          <w:b w:val="false"/>
          <w:bCs w:val="false"/>
          <w:sz w:val="24"/>
          <w:szCs w:val="24"/>
        </w:rPr>
        <w:t>es</w:t>
      </w:r>
      <w:r>
        <w:rPr>
          <w:rFonts w:ascii="Arial" w:hAnsi="Arial"/>
          <w:b w:val="false"/>
          <w:bCs w:val="false"/>
          <w:sz w:val="24"/>
          <w:szCs w:val="24"/>
        </w:rPr>
        <w:t xml:space="preserve"> not specify a calibration interval but Teledyne ha</w:t>
      </w:r>
      <w:r>
        <w:rPr>
          <w:rFonts w:ascii="Arial" w:hAnsi="Arial"/>
          <w:b w:val="false"/>
          <w:bCs w:val="false"/>
          <w:sz w:val="24"/>
          <w:szCs w:val="24"/>
        </w:rPr>
        <w:t>s</w:t>
      </w:r>
      <w:r>
        <w:rPr>
          <w:rFonts w:ascii="Arial" w:hAnsi="Arial"/>
          <w:b w:val="false"/>
          <w:bCs w:val="false"/>
          <w:sz w:val="24"/>
          <w:szCs w:val="24"/>
        </w:rPr>
        <w:t xml:space="preserve"> always recommended every 8 hours, which is a good rule of thumb </w:t>
      </w:r>
      <w:r>
        <w:rPr>
          <w:rFonts w:ascii="Arial" w:hAnsi="Arial"/>
          <w:b w:val="false"/>
          <w:bCs w:val="false"/>
          <w:sz w:val="24"/>
          <w:szCs w:val="24"/>
        </w:rPr>
        <w:t>based on legacy knowledge</w:t>
      </w:r>
      <w:r>
        <w:rPr>
          <w:rFonts w:ascii="Arial" w:hAnsi="Arial"/>
          <w:b w:val="false"/>
          <w:bCs w:val="false"/>
          <w:sz w:val="24"/>
          <w:szCs w:val="24"/>
        </w:rPr>
        <w:t>.</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Calibration is most accurate when performed in 100% oxygen.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Oxygen sensors are like batteries who’s output increases with the amount of oxygen that they are exposed to, so using sensors in high oxygen levels results in a shorter operating life.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 xml:space="preserve">In varied use at lower oxygen concentrations, this may mean typically 2 -3 years. </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t>In very high oxygen concentrations, it can mean around 1 year but that kind of usage is extremely uncommon.</w:t>
      </w:r>
    </w:p>
    <w:p>
      <w:pPr>
        <w:pStyle w:val="Normal"/>
        <w:jc w:val="left"/>
        <w:rPr>
          <w:rFonts w:ascii="Arial" w:hAnsi="Arial"/>
          <w:b w:val="false"/>
          <w:bCs w:val="false"/>
          <w:sz w:val="24"/>
          <w:szCs w:val="24"/>
        </w:rPr>
      </w:pPr>
      <w:r>
        <w:rPr>
          <w:rFonts w:ascii="Arial" w:hAnsi="Arial"/>
          <w:b w:val="false"/>
          <w:bCs w:val="false"/>
          <w:sz w:val="24"/>
          <w:szCs w:val="24"/>
        </w:rPr>
      </w:r>
    </w:p>
    <w:p>
      <w:pPr>
        <w:pStyle w:val="Normal"/>
        <w:jc w:val="left"/>
        <w:rPr>
          <w:rFonts w:ascii="Arial" w:hAnsi="Arial"/>
          <w:b w:val="false"/>
          <w:bCs w:val="false"/>
          <w:sz w:val="24"/>
          <w:szCs w:val="24"/>
        </w:rPr>
      </w:pPr>
      <w:r>
        <w:rPr>
          <w:rFonts w:ascii="Arial" w:hAnsi="Arial"/>
          <w:b w:val="false"/>
          <w:bCs w:val="false"/>
          <w:sz w:val="24"/>
          <w:szCs w:val="24"/>
        </w:rPr>
      </w:r>
      <w:r>
        <w:br w:type="page"/>
      </w:r>
    </w:p>
    <w:p>
      <w:pPr>
        <w:pStyle w:val="Normal"/>
        <w:jc w:val="left"/>
        <w:rPr>
          <w:rFonts w:ascii="Arial" w:hAnsi="Arial"/>
          <w:b w:val="false"/>
          <w:bCs w:val="false"/>
          <w:sz w:val="24"/>
          <w:szCs w:val="24"/>
        </w:rPr>
      </w:pPr>
      <w:r>
        <w:rPr>
          <w:rFonts w:ascii="Arial" w:hAnsi="Arial"/>
          <w:b w:val="false"/>
          <w:bCs w:val="false"/>
          <w:sz w:val="24"/>
          <w:szCs w:val="24"/>
        </w:rPr>
      </w:r>
    </w:p>
    <w:p>
      <w:pPr>
        <w:pStyle w:val="Normal"/>
        <w:rPr>
          <w:rFonts w:ascii="Arial" w:hAnsi="Arial"/>
          <w:b/>
          <w:bCs/>
        </w:rPr>
      </w:pPr>
      <w:r>
        <w:rPr>
          <w:rFonts w:ascii="Arial" w:hAnsi="Arial"/>
          <w:b/>
          <w:bCs/>
        </w:rPr>
        <w:t>Warranty</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t xml:space="preserve">The customer warranty is 24 months from the date of invoice for all Maxtec oxygen monitors, analysers and the sensors supplied with them, with the exception of the UltraMax O2, which has a 36 month warranty. </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r>
    </w:p>
    <w:p>
      <w:pPr>
        <w:pStyle w:val="Normal"/>
        <w:rPr>
          <w:rFonts w:ascii="Arial" w:hAnsi="Arial"/>
          <w:b/>
          <w:bCs/>
        </w:rPr>
      </w:pPr>
      <w:r>
        <w:rPr>
          <w:rFonts w:ascii="Arial" w:hAnsi="Arial"/>
          <w:b/>
          <w:bCs/>
        </w:rPr>
        <w:t>Maintenance/Service</w:t>
      </w:r>
    </w:p>
    <w:p>
      <w:pPr>
        <w:pStyle w:val="Normal"/>
        <w:rPr>
          <w:rFonts w:ascii="Arial" w:hAnsi="Arial"/>
          <w:b w:val="false"/>
          <w:bCs w:val="false"/>
        </w:rPr>
      </w:pPr>
      <w:r>
        <w:rPr>
          <w:rFonts w:ascii="Arial" w:hAnsi="Arial"/>
          <w:b w:val="false"/>
          <w:bCs w:val="false"/>
        </w:rPr>
      </w:r>
    </w:p>
    <w:p>
      <w:pPr>
        <w:pStyle w:val="Normal"/>
        <w:rPr>
          <w:rFonts w:ascii="Arial" w:hAnsi="Arial"/>
          <w:b w:val="false"/>
          <w:bCs w:val="false"/>
        </w:rPr>
      </w:pPr>
      <w:r>
        <w:rPr>
          <w:rFonts w:ascii="Arial" w:hAnsi="Arial"/>
          <w:b w:val="false"/>
          <w:bCs w:val="false"/>
        </w:rPr>
        <w:t>These devices do not contain user serviceable components. Viamed offers an annual service by return to Viamed, which can be found by searching using the information below:</w:t>
      </w:r>
    </w:p>
    <w:p>
      <w:pPr>
        <w:pStyle w:val="Normal"/>
        <w:rPr>
          <w:rFonts w:ascii="Arial" w:hAnsi="Arial"/>
          <w:b/>
          <w:bCs/>
          <w:color w:val="2A6099"/>
        </w:rPr>
      </w:pPr>
      <w:r>
        <w:rPr>
          <w:rFonts w:ascii="Arial" w:hAnsi="Arial"/>
          <w:b/>
          <w:bCs/>
          <w:color w:val="2A6099"/>
        </w:rPr>
      </w:r>
    </w:p>
    <w:p>
      <w:pPr>
        <w:pStyle w:val="Normal"/>
        <w:numPr>
          <w:ilvl w:val="0"/>
          <w:numId w:val="6"/>
        </w:numPr>
        <w:rPr>
          <w:rFonts w:ascii="Arial" w:hAnsi="Arial"/>
          <w:b/>
          <w:bCs/>
          <w:color w:val="000000"/>
        </w:rPr>
      </w:pPr>
      <w:r>
        <w:rPr>
          <w:rFonts w:ascii="Arial" w:hAnsi="Arial"/>
          <w:b/>
          <w:bCs/>
          <w:color w:val="000000"/>
        </w:rPr>
        <w:t xml:space="preserve">01800xx </w:t>
        <w:tab/>
        <w:t>Functional Check Service – (device name)</w:t>
      </w:r>
    </w:p>
    <w:p>
      <w:pPr>
        <w:pStyle w:val="Normal"/>
        <w:numPr>
          <w:ilvl w:val="0"/>
          <w:numId w:val="0"/>
        </w:numPr>
        <w:ind w:left="720" w:hanging="0"/>
        <w:rPr>
          <w:rFonts w:ascii="Arial" w:hAnsi="Arial"/>
          <w:b/>
          <w:bCs/>
          <w:color w:val="000000"/>
        </w:rPr>
      </w:pPr>
      <w:r>
        <w:rPr>
          <w:rFonts w:ascii="Arial" w:hAnsi="Arial"/>
          <w:b/>
          <w:bCs/>
          <w:color w:val="000000"/>
        </w:rPr>
      </w:r>
    </w:p>
    <w:p>
      <w:pPr>
        <w:pStyle w:val="Normal"/>
        <w:rPr>
          <w:rFonts w:ascii="Arial" w:hAnsi="Arial"/>
          <w:b/>
          <w:bCs/>
          <w:color w:val="000000"/>
        </w:rPr>
      </w:pPr>
      <w:r>
        <w:rPr>
          <w:rFonts w:ascii="Arial" w:hAnsi="Arial"/>
          <w:b/>
          <w:bCs/>
          <w:color w:val="000000"/>
        </w:rPr>
      </w:r>
    </w:p>
    <w:p>
      <w:pPr>
        <w:pStyle w:val="Normal"/>
        <w:rPr>
          <w:rFonts w:ascii="Arial" w:hAnsi="Arial"/>
          <w:b w:val="false"/>
          <w:bCs w:val="false"/>
        </w:rPr>
      </w:pPr>
      <w:r>
        <w:rPr>
          <w:rFonts w:ascii="Arial" w:hAnsi="Arial"/>
          <w:b/>
          <w:bCs/>
        </w:rPr>
        <w:t>Latex</w:t>
      </w:r>
      <w:r>
        <w:rPr>
          <w:rFonts w:ascii="Arial" w:hAnsi="Arial"/>
          <w:b w:val="false"/>
          <w:bCs w:val="false"/>
        </w:rPr>
        <w:t xml:space="preserve"> </w:t>
      </w:r>
    </w:p>
    <w:p>
      <w:pPr>
        <w:pStyle w:val="Normal"/>
        <w:rPr>
          <w:rFonts w:ascii="Arial" w:hAnsi="Arial"/>
          <w:b w:val="false"/>
          <w:bCs w:val="false"/>
        </w:rPr>
      </w:pPr>
      <w:r>
        <w:rPr>
          <w:rFonts w:ascii="Arial" w:hAnsi="Arial"/>
          <w:b w:val="false"/>
          <w:bCs w:val="false"/>
        </w:rPr>
      </w:r>
    </w:p>
    <w:p>
      <w:pPr>
        <w:pStyle w:val="Normal"/>
        <w:jc w:val="left"/>
        <w:rPr>
          <w:rFonts w:ascii="Arial" w:hAnsi="Arial"/>
          <w:b w:val="false"/>
          <w:bCs w:val="false"/>
          <w:color w:val="000000"/>
        </w:rPr>
      </w:pPr>
      <w:r>
        <w:rPr>
          <w:rFonts w:ascii="Arial" w:hAnsi="Arial"/>
          <w:b w:val="false"/>
          <w:bCs w:val="false"/>
          <w:color w:val="000000"/>
        </w:rPr>
        <w:t xml:space="preserve">All devices and all accessories are latex-free. </w:t>
      </w:r>
    </w:p>
    <w:p>
      <w:pPr>
        <w:pStyle w:val="Normal"/>
        <w:jc w:val="left"/>
        <w:rPr>
          <w:rFonts w:ascii="Arial" w:hAnsi="Arial"/>
          <w:b w:val="false"/>
          <w:bCs w:val="false"/>
          <w:color w:val="000000"/>
        </w:rPr>
      </w:pPr>
      <w:r>
        <w:rPr>
          <w:rFonts w:ascii="Arial" w:hAnsi="Arial"/>
          <w:b w:val="false"/>
          <w:bCs w:val="false"/>
          <w:color w:val="000000"/>
        </w:rPr>
      </w:r>
    </w:p>
    <w:p>
      <w:pPr>
        <w:pStyle w:val="Normal"/>
        <w:jc w:val="left"/>
        <w:rPr>
          <w:rFonts w:ascii="Arial" w:hAnsi="Arial"/>
          <w:b w:val="false"/>
          <w:bCs w:val="false"/>
          <w:color w:val="000000"/>
        </w:rPr>
      </w:pPr>
      <w:r>
        <w:rPr>
          <w:rFonts w:ascii="Arial" w:hAnsi="Arial"/>
          <w:b w:val="false"/>
          <w:bCs w:val="false"/>
          <w:color w:val="000000"/>
        </w:rPr>
      </w:r>
    </w:p>
    <w:p>
      <w:pPr>
        <w:pStyle w:val="Normal"/>
        <w:rPr>
          <w:rFonts w:ascii="Arial" w:hAnsi="Arial"/>
          <w:b/>
          <w:bCs/>
        </w:rPr>
      </w:pPr>
      <w:r>
        <w:rPr>
          <w:rFonts w:ascii="Arial" w:hAnsi="Arial"/>
          <w:b/>
          <w:bCs/>
        </w:rPr>
        <w:t xml:space="preserve">Where to find additional information </w:t>
      </w:r>
    </w:p>
    <w:p>
      <w:pPr>
        <w:pStyle w:val="Normal"/>
        <w:rPr>
          <w:rFonts w:ascii="Arial" w:hAnsi="Arial"/>
        </w:rPr>
      </w:pPr>
      <w:r>
        <w:rPr>
          <w:rFonts w:ascii="Arial" w:hAnsi="Arial"/>
        </w:rPr>
      </w:r>
    </w:p>
    <w:p>
      <w:pPr>
        <w:pStyle w:val="Normal"/>
        <w:numPr>
          <w:ilvl w:val="0"/>
          <w:numId w:val="7"/>
        </w:numPr>
        <w:rPr>
          <w:rFonts w:ascii="Arial" w:hAnsi="Arial"/>
        </w:rPr>
      </w:pPr>
      <w:r>
        <w:rPr>
          <w:rFonts w:ascii="Arial" w:hAnsi="Arial"/>
        </w:rPr>
        <w:t>Viamed website</w:t>
      </w:r>
    </w:p>
    <w:p>
      <w:pPr>
        <w:pStyle w:val="Normal"/>
        <w:numPr>
          <w:ilvl w:val="0"/>
          <w:numId w:val="7"/>
        </w:numPr>
        <w:rPr>
          <w:rFonts w:ascii="Arial" w:hAnsi="Arial"/>
        </w:rPr>
      </w:pPr>
      <w:r>
        <w:rPr>
          <w:rFonts w:ascii="Arial" w:hAnsi="Arial"/>
        </w:rPr>
        <w:t>Maxtec website</w:t>
      </w:r>
    </w:p>
    <w:p>
      <w:pPr>
        <w:pStyle w:val="Normal"/>
        <w:numPr>
          <w:ilvl w:val="0"/>
          <w:numId w:val="7"/>
        </w:numPr>
        <w:rPr>
          <w:rFonts w:ascii="Arial" w:hAnsi="Arial"/>
        </w:rPr>
      </w:pPr>
      <w:r>
        <w:rPr>
          <w:rFonts w:ascii="Arial" w:hAnsi="Arial"/>
        </w:rPr>
        <w:t>Product leaflets – linked to stock pages</w:t>
      </w:r>
    </w:p>
    <w:p>
      <w:pPr>
        <w:pStyle w:val="Normal"/>
        <w:numPr>
          <w:ilvl w:val="0"/>
          <w:numId w:val="7"/>
        </w:numPr>
        <w:rPr>
          <w:rFonts w:ascii="Arial" w:hAnsi="Arial"/>
        </w:rPr>
      </w:pPr>
      <w:r>
        <w:rPr>
          <w:rFonts w:ascii="Arial" w:hAnsi="Arial"/>
        </w:rPr>
        <w:t>FAQs on the stock page</w:t>
      </w:r>
    </w:p>
    <w:p>
      <w:pPr>
        <w:pStyle w:val="Normal"/>
        <w:numPr>
          <w:ilvl w:val="0"/>
          <w:numId w:val="7"/>
        </w:numPr>
        <w:rPr>
          <w:rFonts w:ascii="Arial" w:hAnsi="Arial"/>
        </w:rPr>
      </w:pPr>
      <w:r>
        <w:rPr>
          <w:rFonts w:ascii="Arial" w:hAnsi="Arial"/>
        </w:rPr>
        <w:t>Memos on the stock page</w:t>
      </w:r>
    </w:p>
    <w:p>
      <w:pPr>
        <w:pStyle w:val="Normal"/>
        <w:numPr>
          <w:ilvl w:val="0"/>
          <w:numId w:val="7"/>
        </w:numPr>
        <w:jc w:val="left"/>
        <w:rPr>
          <w:rFonts w:ascii="Arial" w:hAnsi="Arial"/>
          <w:b w:val="false"/>
          <w:bCs w:val="false"/>
        </w:rPr>
      </w:pPr>
      <w:r>
        <w:rPr>
          <w:rFonts w:ascii="Arial" w:hAnsi="Arial"/>
          <w:b w:val="false"/>
          <w:bCs w:val="false"/>
        </w:rPr>
        <w:t>Instructions for use</w:t>
      </w:r>
    </w:p>
    <w:sectPr>
      <w:headerReference w:type="default" r:id="rId25"/>
      <w:type w:val="nextPage"/>
      <w:pgSz w:orient="landscape" w:w="16838" w:h="11906"/>
      <w:pgMar w:left="1134" w:right="1134" w:gutter="0" w:header="1134" w:top="1785" w:footer="0" w:bottom="113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swiss"/>
    <w:pitch w:val="default"/>
  </w:font>
  <w:font w:name="OpenSymbol">
    <w:altName w:val="Arial Unicode MS"/>
    <w:charset w:val="01"/>
    <w:family w:val="swiss"/>
    <w:pitch w:val="default"/>
  </w:font>
  <w:font w:name="Liberation Sans">
    <w:altName w:val="Arial"/>
    <w:charset w:val="01"/>
    <w:family w:val="swiss"/>
    <w:pitch w:val="default"/>
  </w:font>
  <w:font w:name="Arial">
    <w:charset w:val="01"/>
    <w:family w:val="swiss"/>
    <w:pitch w:val="default"/>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16"/>
        <w:szCs w:val="16"/>
      </w:rPr>
    </w:pPr>
    <w:r>
      <w:rPr>
        <w:rFonts w:ascii="Arial" w:hAnsi="Arial"/>
        <w:sz w:val="16"/>
        <w:szCs w:val="16"/>
      </w:rPr>
      <w:t>Maxtec Oxygen Monitoring – Technical Training v1.</w:t>
    </w:r>
    <w:r>
      <w:rPr>
        <w:rFonts w:ascii="Arial" w:hAnsi="Arial"/>
        <w:sz w:val="16"/>
        <w:szCs w:val="16"/>
      </w:rPr>
      <w:t>1</w:t>
    </w:r>
  </w:p>
  <w:p>
    <w:pPr>
      <w:pStyle w:val="Header"/>
      <w:jc w:val="right"/>
      <w:rPr>
        <w:rFonts w:ascii="Arial" w:hAnsi="Arial"/>
        <w:sz w:val="16"/>
        <w:szCs w:val="16"/>
      </w:rPr>
    </w:pPr>
    <w:r>
      <w:rPr>
        <w:rFonts w:ascii="Arial" w:hAnsi="Arial"/>
        <w:sz w:val="16"/>
        <w:szCs w:val="16"/>
      </w:rPr>
      <w:t>Steve Hardaker – June 2023</w:t>
    </w:r>
  </w:p>
  <w:p>
    <w:pPr>
      <w:pStyle w:val="Header"/>
      <w:jc w:val="right"/>
      <w:rPr>
        <w:rFonts w:ascii="Arial" w:hAnsi="Arial"/>
        <w:sz w:val="16"/>
        <w:szCs w:val="16"/>
      </w:rPr>
    </w:pPr>
    <w:r>
      <w:rPr>
        <w:rFonts w:ascii="Arial" w:hAnsi="Arial"/>
        <w:sz w:val="16"/>
        <w:szCs w:val="16"/>
      </w:rPr>
      <w:t xml:space="preserve">Last revised: </w:t>
    </w:r>
    <w:r>
      <w:rPr>
        <w:rFonts w:ascii="Arial" w:hAnsi="Arial"/>
        <w:color w:val="000000"/>
        <w:sz w:val="16"/>
        <w:szCs w:val="16"/>
      </w:rPr>
      <w:t>2</w:t>
    </w:r>
    <w:r>
      <w:rPr>
        <w:rFonts w:ascii="Arial" w:hAnsi="Arial"/>
        <w:color w:val="000000"/>
        <w:sz w:val="16"/>
        <w:szCs w:val="16"/>
      </w:rPr>
      <w:t>1</w:t>
    </w:r>
    <w:r>
      <w:rPr>
        <w:rFonts w:ascii="Arial" w:hAnsi="Arial"/>
        <w:color w:val="000000"/>
        <w:sz w:val="16"/>
        <w:szCs w:val="16"/>
      </w:rPr>
      <w:t>/</w:t>
    </w:r>
    <w:r>
      <w:rPr>
        <w:rFonts w:ascii="Arial" w:hAnsi="Arial"/>
        <w:color w:val="000000"/>
        <w:sz w:val="16"/>
        <w:szCs w:val="16"/>
      </w:rPr>
      <w:t>2</w:t>
    </w:r>
    <w:r>
      <w:rPr>
        <w:rFonts w:ascii="Arial" w:hAnsi="Arial"/>
        <w:color w:val="000000"/>
        <w:sz w:val="16"/>
        <w:szCs w:val="16"/>
      </w:rPr>
      <w:t>/25</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Arial"/>
      <w:color w:val="auto"/>
      <w:kern w:val="2"/>
      <w:sz w:val="24"/>
      <w:szCs w:val="24"/>
      <w:lang w:val="en-GB" w:eastAsia="zh-CN" w:bidi="hi-IN"/>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header" Target="header1.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712</TotalTime>
  <Application>LibreOffice/7.5.1.2$Windows_X86_64 LibreOffice_project/fcbaee479e84c6cd81291587d2ee68cba099e129</Application>
  <AppVersion>15.0000</AppVersion>
  <Pages>16</Pages>
  <Words>1740</Words>
  <Characters>9099</Characters>
  <CharactersWithSpaces>10709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2023-06-16T09:32:50Z</dcterms:created>
  <dc:creator/>
  <dc:description/>
  <dc:language>en-GB</dc:language>
  <cp:lastModifiedBy/>
  <dcterms:modified xsi:type="dcterms:W3CDTF">2025-02-21T12:46:02Z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