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sz w:val="22"/>
          <w:szCs w:val="22"/>
          <w:vertAlign w:val="baseline"/>
        </w:rPr>
      </w:pPr>
      <w:r w:rsidDel="00000000" w:rsidR="00000000" w:rsidRPr="00000000">
        <w:rPr>
          <w:rFonts w:ascii="Arial" w:cs="Arial" w:eastAsia="Arial" w:hAnsi="Arial"/>
          <w:b w:val="1"/>
          <w:sz w:val="22"/>
          <w:szCs w:val="22"/>
          <w:u w:val="single"/>
          <w:vertAlign w:val="baseline"/>
          <w:rtl w:val="0"/>
        </w:rPr>
        <w:t xml:space="preserve">Introduction to EEG Sensors</w:t>
      </w:r>
      <w:r w:rsidDel="00000000" w:rsidR="00000000" w:rsidRPr="00000000">
        <w:rPr>
          <w:rtl w:val="0"/>
        </w:rPr>
      </w:r>
    </w:p>
    <w:p w:rsidR="00000000" w:rsidDel="00000000" w:rsidP="00000000" w:rsidRDefault="00000000" w:rsidRPr="00000000" w14:paraId="00000002">
      <w:pPr>
        <w:rPr>
          <w:rFonts w:ascii="Arial" w:cs="Arial" w:eastAsia="Arial" w:hAnsi="Arial"/>
          <w:b w:val="0"/>
          <w:sz w:val="22"/>
          <w:szCs w:val="22"/>
          <w:u w:val="single"/>
          <w:vertAlign w:val="baseline"/>
        </w:rPr>
      </w:pPr>
      <w:r w:rsidDel="00000000" w:rsidR="00000000" w:rsidRPr="00000000">
        <w:rPr>
          <w:rtl w:val="0"/>
        </w:rPr>
      </w:r>
    </w:p>
    <w:p w:rsidR="00000000" w:rsidDel="00000000" w:rsidP="00000000" w:rsidRDefault="00000000" w:rsidRPr="00000000" w14:paraId="00000003">
      <w:pPr>
        <w:rPr>
          <w:rFonts w:ascii="Arial" w:cs="Arial" w:eastAsia="Arial" w:hAnsi="Arial"/>
          <w:b w:val="0"/>
          <w:sz w:val="22"/>
          <w:szCs w:val="22"/>
          <w:u w:val="single"/>
          <w:vertAlign w:val="baseline"/>
        </w:rPr>
      </w:pPr>
      <w:r w:rsidDel="00000000" w:rsidR="00000000" w:rsidRPr="00000000">
        <w:rPr>
          <w:rFonts w:ascii="Arial" w:cs="Arial" w:eastAsia="Arial" w:hAnsi="Arial"/>
          <w:b w:val="1"/>
          <w:sz w:val="22"/>
          <w:szCs w:val="22"/>
          <w:u w:val="single"/>
          <w:vertAlign w:val="baseline"/>
          <w:rtl w:val="0"/>
        </w:rPr>
        <w:t xml:space="preserve">What is EEG?</w:t>
      </w:r>
      <w:r w:rsidDel="00000000" w:rsidR="00000000" w:rsidRPr="00000000">
        <w:rPr>
          <w:rtl w:val="0"/>
        </w:rPr>
      </w:r>
    </w:p>
    <w:p w:rsidR="00000000" w:rsidDel="00000000" w:rsidP="00000000" w:rsidRDefault="00000000" w:rsidRPr="00000000" w14:paraId="00000004">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05">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EEG stands for electroencephalogram. It is a test that detects electrical activity in your brain using small, flat electrodes attached to your scalp. The electrodes detect tiny electrical charges that result from the activity of your brain cells. </w:t>
      </w:r>
    </w:p>
    <w:p w:rsidR="00000000" w:rsidDel="00000000" w:rsidP="00000000" w:rsidRDefault="00000000" w:rsidRPr="00000000" w14:paraId="00000006">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7">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In anaesthesia, EEG (electroencephalography) can be utilised for several purposes:</w:t>
      </w:r>
    </w:p>
    <w:p w:rsidR="00000000" w:rsidDel="00000000" w:rsidP="00000000" w:rsidRDefault="00000000" w:rsidRPr="00000000" w14:paraId="00000008">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9">
      <w:pPr>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Monitoring Depth of Anaesthesia:</w:t>
      </w:r>
      <w:r w:rsidDel="00000000" w:rsidR="00000000" w:rsidRPr="00000000">
        <w:rPr>
          <w:rFonts w:ascii="Arial" w:cs="Arial" w:eastAsia="Arial" w:hAnsi="Arial"/>
          <w:sz w:val="22"/>
          <w:szCs w:val="22"/>
          <w:vertAlign w:val="baseline"/>
          <w:rtl w:val="0"/>
        </w:rPr>
        <w:t xml:space="preserve"> EEG can help anaesthesiologists monitor the depth of anaesthesia during surgery. By analysing the patterns of brain activity, they can adjust the dosage of anaesthetic drugs to ensure the patient remains appropriately sedated or anesthetised throughout the procedure. This helps in preventing awareness during surgery while avoiding over-sedation.</w:t>
      </w:r>
    </w:p>
    <w:p w:rsidR="00000000" w:rsidDel="00000000" w:rsidP="00000000" w:rsidRDefault="00000000" w:rsidRPr="00000000" w14:paraId="0000000A">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B">
      <w:pPr>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Detecting Seizures:</w:t>
      </w:r>
      <w:r w:rsidDel="00000000" w:rsidR="00000000" w:rsidRPr="00000000">
        <w:rPr>
          <w:rFonts w:ascii="Arial" w:cs="Arial" w:eastAsia="Arial" w:hAnsi="Arial"/>
          <w:sz w:val="22"/>
          <w:szCs w:val="22"/>
          <w:vertAlign w:val="baseline"/>
          <w:rtl w:val="0"/>
        </w:rPr>
        <w:t xml:space="preserve"> Some anaesthetic agents can lower the seizure threshold, especially in susceptible individuals. EEG monitoring allows for the early detection of seizure activity, enabling prompt intervention to prevent further complications.</w:t>
      </w:r>
    </w:p>
    <w:p w:rsidR="00000000" w:rsidDel="00000000" w:rsidP="00000000" w:rsidRDefault="00000000" w:rsidRPr="00000000" w14:paraId="0000000C">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D">
      <w:pPr>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Monitoring Brain Function:</w:t>
      </w:r>
      <w:r w:rsidDel="00000000" w:rsidR="00000000" w:rsidRPr="00000000">
        <w:rPr>
          <w:rFonts w:ascii="Arial" w:cs="Arial" w:eastAsia="Arial" w:hAnsi="Arial"/>
          <w:sz w:val="22"/>
          <w:szCs w:val="22"/>
          <w:vertAlign w:val="baseline"/>
          <w:rtl w:val="0"/>
        </w:rPr>
        <w:t xml:space="preserve"> EEG can also provide insights into brain function during anaesthesia. It helps in assessing cerebral perfusion (blood flow that supplies oxygen and nutrients to the brain tissue) and identifying any abnormalities or changes in brain activity that may occur during surgery.</w:t>
      </w:r>
    </w:p>
    <w:p w:rsidR="00000000" w:rsidDel="00000000" w:rsidP="00000000" w:rsidRDefault="00000000" w:rsidRPr="00000000" w14:paraId="0000000E">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F">
      <w:pPr>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Assessing Depth of Sedation in Sedation Procedures:</w:t>
      </w:r>
      <w:r w:rsidDel="00000000" w:rsidR="00000000" w:rsidRPr="00000000">
        <w:rPr>
          <w:rFonts w:ascii="Arial" w:cs="Arial" w:eastAsia="Arial" w:hAnsi="Arial"/>
          <w:sz w:val="22"/>
          <w:szCs w:val="22"/>
          <w:vertAlign w:val="baseline"/>
          <w:rtl w:val="0"/>
        </w:rPr>
        <w:t xml:space="preserve"> In procedures requiring sedation outside of the operating room/theatre, such as in endoscopy or imaging studies, EEG can help monitor the level of sedation to ensure patient safety and comfort.</w:t>
      </w:r>
    </w:p>
    <w:p w:rsidR="00000000" w:rsidDel="00000000" w:rsidP="00000000" w:rsidRDefault="00000000" w:rsidRPr="00000000" w14:paraId="00000010">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1">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Overall, EEG monitoring in anaesthesia contributes to safer and more effective management of patients undergoing surgical procedures or sedation, helping to minimize risks and optimise outcomes.</w:t>
      </w:r>
    </w:p>
    <w:p w:rsidR="00000000" w:rsidDel="00000000" w:rsidP="00000000" w:rsidRDefault="00000000" w:rsidRPr="00000000" w14:paraId="00000012">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3">
      <w:pPr>
        <w:rPr>
          <w:rFonts w:ascii="Arial" w:cs="Arial" w:eastAsia="Arial" w:hAnsi="Arial"/>
          <w:b w:val="0"/>
          <w:sz w:val="22"/>
          <w:szCs w:val="22"/>
          <w:u w:val="single"/>
          <w:vertAlign w:val="baseline"/>
        </w:rPr>
      </w:pPr>
      <w:r w:rsidDel="00000000" w:rsidR="00000000" w:rsidRPr="00000000">
        <w:rPr>
          <w:rFonts w:ascii="Arial" w:cs="Arial" w:eastAsia="Arial" w:hAnsi="Arial"/>
          <w:b w:val="1"/>
          <w:sz w:val="22"/>
          <w:szCs w:val="22"/>
          <w:u w:val="single"/>
          <w:vertAlign w:val="baseline"/>
          <w:rtl w:val="0"/>
        </w:rPr>
        <w:t xml:space="preserve">Departments Used</w:t>
      </w:r>
      <w:r w:rsidDel="00000000" w:rsidR="00000000" w:rsidRPr="00000000">
        <w:rPr>
          <w:rtl w:val="0"/>
        </w:rPr>
      </w:r>
    </w:p>
    <w:p w:rsidR="00000000" w:rsidDel="00000000" w:rsidP="00000000" w:rsidRDefault="00000000" w:rsidRPr="00000000" w14:paraId="00000014">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15">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Taking the above into consideration we are targeting Theatres, ICU and HDU departments.</w:t>
      </w:r>
    </w:p>
    <w:p w:rsidR="00000000" w:rsidDel="00000000" w:rsidP="00000000" w:rsidRDefault="00000000" w:rsidRPr="00000000" w14:paraId="00000016">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7">
      <w:pPr>
        <w:rPr>
          <w:rFonts w:ascii="Arial" w:cs="Arial" w:eastAsia="Arial" w:hAnsi="Arial"/>
          <w:b w:val="0"/>
          <w:sz w:val="22"/>
          <w:szCs w:val="22"/>
          <w:u w:val="single"/>
          <w:vertAlign w:val="baseline"/>
        </w:rPr>
      </w:pPr>
      <w:r w:rsidDel="00000000" w:rsidR="00000000" w:rsidRPr="00000000">
        <w:rPr>
          <w:rFonts w:ascii="Arial" w:cs="Arial" w:eastAsia="Arial" w:hAnsi="Arial"/>
          <w:b w:val="1"/>
          <w:sz w:val="22"/>
          <w:szCs w:val="22"/>
          <w:u w:val="single"/>
          <w:vertAlign w:val="baseline"/>
          <w:rtl w:val="0"/>
        </w:rPr>
        <w:t xml:space="preserve">EEG Range from Viamed</w:t>
      </w:r>
      <w:r w:rsidDel="00000000" w:rsidR="00000000" w:rsidRPr="00000000">
        <w:rPr>
          <w:rtl w:val="0"/>
        </w:rPr>
      </w:r>
    </w:p>
    <w:p w:rsidR="00000000" w:rsidDel="00000000" w:rsidP="00000000" w:rsidRDefault="00000000" w:rsidRPr="00000000" w14:paraId="00000018">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9">
      <w:pPr>
        <w:rPr>
          <w:rFonts w:ascii="Arial" w:cs="Arial" w:eastAsia="Arial" w:hAnsi="Arial"/>
          <w:sz w:val="22"/>
          <w:szCs w:val="22"/>
          <w:vertAlign w:val="baseline"/>
        </w:rPr>
      </w:pPr>
      <w:r w:rsidDel="00000000" w:rsidR="00000000" w:rsidRPr="00000000">
        <w:rPr/>
        <w:drawing>
          <wp:anchor allowOverlap="1" behindDoc="0" distB="0" distT="0" distL="114300" distR="114300" hidden="0" layoutInCell="1" locked="0" relativeHeight="0" simplePos="0">
            <wp:simplePos x="0" y="0"/>
            <wp:positionH relativeFrom="leftMargin">
              <wp:posOffset>4294505</wp:posOffset>
            </wp:positionH>
            <wp:positionV relativeFrom="topMargin">
              <wp:posOffset>6282690</wp:posOffset>
            </wp:positionV>
            <wp:extent cx="1558290" cy="1733550"/>
            <wp:effectExtent b="0" l="0" r="0" t="0"/>
            <wp:wrapSquare wrapText="bothSides" distB="0" distT="0" distL="114300" distR="114300"/>
            <wp:docPr id="103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558290" cy="1733550"/>
                    </a:xfrm>
                    <a:prstGeom prst="rect"/>
                    <a:ln/>
                  </pic:spPr>
                </pic:pic>
              </a:graphicData>
            </a:graphic>
          </wp:anchor>
        </w:drawing>
      </w:r>
      <w:r w:rsidDel="00000000" w:rsidR="00000000" w:rsidRPr="00000000">
        <w:rPr>
          <w:rFonts w:ascii="Arial" w:cs="Arial" w:eastAsia="Arial" w:hAnsi="Arial"/>
          <w:sz w:val="22"/>
          <w:szCs w:val="22"/>
          <w:vertAlign w:val="baseline"/>
          <w:rtl w:val="0"/>
        </w:rPr>
        <w:t xml:space="preserve">Viamed currently offers 2 types of EEG sensors:</w:t>
      </w:r>
    </w:p>
    <w:p w:rsidR="00000000" w:rsidDel="00000000" w:rsidP="00000000" w:rsidRDefault="00000000" w:rsidRPr="00000000" w14:paraId="0000001A">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B">
      <w:pPr>
        <w:numPr>
          <w:ilvl w:val="0"/>
          <w:numId w:val="2"/>
        </w:numPr>
        <w:ind w:left="426" w:hanging="360"/>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Disposable Single-Use EEG sensors for measurement of Bispectral Index</w:t>
        <w:br w:type="textWrapping"/>
        <w:br w:type="textWrapping"/>
      </w:r>
      <w:r w:rsidDel="00000000" w:rsidR="00000000" w:rsidRPr="00000000">
        <w:rPr>
          <w:rFonts w:ascii="Arial" w:cs="Arial" w:eastAsia="Arial" w:hAnsi="Arial"/>
          <w:sz w:val="22"/>
          <w:szCs w:val="22"/>
          <w:vertAlign w:val="baseline"/>
          <w:rtl w:val="0"/>
        </w:rPr>
        <w:t xml:space="preserve">Disposable, single-use EEG sensors are specifically designed for anaesthesiologists and medical professionals to monitor and assess the depth of anaesthesia in patients using the </w:t>
      </w:r>
      <w:r w:rsidDel="00000000" w:rsidR="00000000" w:rsidRPr="00000000">
        <w:rPr>
          <w:rFonts w:ascii="Arial" w:cs="Arial" w:eastAsia="Arial" w:hAnsi="Arial"/>
          <w:b w:val="1"/>
          <w:sz w:val="22"/>
          <w:szCs w:val="22"/>
          <w:vertAlign w:val="baseline"/>
          <w:rtl w:val="0"/>
        </w:rPr>
        <w:t xml:space="preserve">Bispectral Index</w:t>
      </w:r>
      <w:r w:rsidDel="00000000" w:rsidR="00000000" w:rsidRPr="00000000">
        <w:rPr>
          <w:rFonts w:ascii="Arial" w:cs="Arial" w:eastAsia="Arial" w:hAnsi="Arial"/>
          <w:b w:val="1"/>
          <w:sz w:val="22"/>
          <w:szCs w:val="22"/>
          <w:vertAlign w:val="superscript"/>
          <w:rtl w:val="0"/>
        </w:rPr>
        <w:t xml:space="preserve">TM</w:t>
      </w:r>
      <w:r w:rsidDel="00000000" w:rsidR="00000000" w:rsidRPr="00000000">
        <w:rPr>
          <w:rFonts w:ascii="Arial" w:cs="Arial" w:eastAsia="Arial" w:hAnsi="Arial"/>
          <w:b w:val="1"/>
          <w:sz w:val="22"/>
          <w:szCs w:val="22"/>
          <w:vertAlign w:val="baseline"/>
          <w:rtl w:val="0"/>
        </w:rPr>
        <w:t xml:space="preserve"> (BIS) derived from the EEG signals.</w:t>
      </w:r>
      <w:r w:rsidDel="00000000" w:rsidR="00000000" w:rsidRPr="00000000">
        <w:rPr>
          <w:rFonts w:ascii="Arial" w:cs="Arial" w:eastAsia="Arial" w:hAnsi="Arial"/>
          <w:sz w:val="22"/>
          <w:szCs w:val="22"/>
          <w:vertAlign w:val="baseline"/>
          <w:rtl w:val="0"/>
        </w:rPr>
        <w:t xml:space="preserve"> This provides real-time information about the patient’s consciousness and electrical brain activity during surgical procedures. </w:t>
      </w:r>
    </w:p>
    <w:p w:rsidR="00000000" w:rsidDel="00000000" w:rsidP="00000000" w:rsidRDefault="00000000" w:rsidRPr="00000000" w14:paraId="0000001C">
      <w:pPr>
        <w:ind w:left="720" w:firstLine="0"/>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D">
      <w:pPr>
        <w:numPr>
          <w:ilvl w:val="0"/>
          <w:numId w:val="4"/>
        </w:numPr>
        <w:ind w:left="1134" w:hanging="34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Available in 3 types/sizes: Adult, Paediatric and Bilateral Adult</w:t>
      </w:r>
    </w:p>
    <w:p w:rsidR="00000000" w:rsidDel="00000000" w:rsidP="00000000" w:rsidRDefault="00000000" w:rsidRPr="00000000" w14:paraId="0000001E">
      <w:pPr>
        <w:numPr>
          <w:ilvl w:val="0"/>
          <w:numId w:val="4"/>
        </w:numPr>
        <w:ind w:left="1134" w:hanging="34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Compatible with a large range of BIS</w:t>
      </w:r>
      <w:r w:rsidDel="00000000" w:rsidR="00000000" w:rsidRPr="00000000">
        <w:rPr>
          <w:rFonts w:ascii="Arial" w:cs="Arial" w:eastAsia="Arial" w:hAnsi="Arial"/>
          <w:sz w:val="22"/>
          <w:szCs w:val="22"/>
          <w:vertAlign w:val="superscript"/>
          <w:rtl w:val="0"/>
        </w:rPr>
        <w:t xml:space="preserve">TM</w:t>
      </w:r>
      <w:r w:rsidDel="00000000" w:rsidR="00000000" w:rsidRPr="00000000">
        <w:rPr>
          <w:rFonts w:ascii="Arial" w:cs="Arial" w:eastAsia="Arial" w:hAnsi="Arial"/>
          <w:sz w:val="22"/>
          <w:szCs w:val="22"/>
          <w:vertAlign w:val="baseline"/>
          <w:rtl w:val="0"/>
        </w:rPr>
        <w:t xml:space="preserve"> monitors and modules (see leaflet and cross reference for more information)</w:t>
      </w:r>
    </w:p>
    <w:p w:rsidR="00000000" w:rsidDel="00000000" w:rsidP="00000000" w:rsidRDefault="00000000" w:rsidRPr="00000000" w14:paraId="0000001F">
      <w:pPr>
        <w:numPr>
          <w:ilvl w:val="0"/>
          <w:numId w:val="3"/>
        </w:numPr>
        <w:ind w:left="1134" w:hanging="34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Clinically tested, high-measurement accuracy </w:t>
      </w:r>
    </w:p>
    <w:p w:rsidR="00000000" w:rsidDel="00000000" w:rsidP="00000000" w:rsidRDefault="00000000" w:rsidRPr="00000000" w14:paraId="00000020">
      <w:pPr>
        <w:numPr>
          <w:ilvl w:val="0"/>
          <w:numId w:val="3"/>
        </w:numPr>
        <w:ind w:left="1134" w:hanging="34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Soft and bio-compatible material </w:t>
      </w:r>
    </w:p>
    <w:p w:rsidR="00000000" w:rsidDel="00000000" w:rsidP="00000000" w:rsidRDefault="00000000" w:rsidRPr="00000000" w14:paraId="00000021">
      <w:pPr>
        <w:numPr>
          <w:ilvl w:val="0"/>
          <w:numId w:val="3"/>
        </w:numPr>
        <w:ind w:left="1134" w:hanging="34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Latex-free </w:t>
      </w:r>
    </w:p>
    <w:p w:rsidR="00000000" w:rsidDel="00000000" w:rsidP="00000000" w:rsidRDefault="00000000" w:rsidRPr="00000000" w14:paraId="00000022">
      <w:pPr>
        <w:ind w:left="720" w:firstLine="0"/>
        <w:rPr>
          <w:rFonts w:ascii="Arial" w:cs="Arial" w:eastAsia="Arial" w:hAnsi="Arial"/>
          <w:sz w:val="22"/>
          <w:szCs w:val="22"/>
          <w:vertAlign w:val="baseline"/>
        </w:rPr>
      </w:pPr>
      <w:r w:rsidDel="00000000" w:rsidR="00000000" w:rsidRPr="00000000">
        <w:rPr>
          <w:rtl w:val="0"/>
        </w:rPr>
      </w:r>
    </w:p>
    <w:tbl>
      <w:tblPr>
        <w:tblStyle w:val="Table1"/>
        <w:tblW w:w="9638.0" w:type="dxa"/>
        <w:jc w:val="center"/>
        <w:tblBorders>
          <w:top w:color="000000" w:space="0" w:sz="0" w:val="nil"/>
          <w:left w:color="000000" w:space="0" w:sz="0" w:val="nil"/>
          <w:bottom w:color="000000" w:space="0" w:sz="0" w:val="nil"/>
          <w:right w:color="000000" w:space="0" w:sz="0" w:val="nil"/>
          <w:insideH w:color="000000" w:space="0" w:sz="0" w:val="nil"/>
          <w:insideV w:color="000000" w:space="0" w:sz="4" w:val="single"/>
        </w:tblBorders>
        <w:tblLayout w:type="fixed"/>
        <w:tblLook w:val="0000"/>
      </w:tblPr>
      <w:tblGrid>
        <w:gridCol w:w="3212"/>
        <w:gridCol w:w="3213"/>
        <w:gridCol w:w="3213"/>
        <w:tblGridChange w:id="0">
          <w:tblGrid>
            <w:gridCol w:w="3212"/>
            <w:gridCol w:w="3213"/>
            <w:gridCol w:w="3213"/>
          </w:tblGrid>
        </w:tblGridChange>
      </w:tblGrid>
      <w:tr>
        <w:trPr>
          <w:cantSplit w:val="0"/>
          <w:tblHeader w:val="0"/>
        </w:trPr>
        <w:tc>
          <w:tcP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214630</wp:posOffset>
                  </wp:positionH>
                  <wp:positionV relativeFrom="paragraph">
                    <wp:posOffset>161925</wp:posOffset>
                  </wp:positionV>
                  <wp:extent cx="1428115" cy="1061085"/>
                  <wp:effectExtent b="0" l="0" r="0" t="0"/>
                  <wp:wrapSquare wrapText="bothSides" distB="0" distT="0" distL="0" distR="0"/>
                  <wp:docPr id="1037" name="image9.png"/>
                  <a:graphic>
                    <a:graphicData uri="http://schemas.openxmlformats.org/drawingml/2006/picture">
                      <pic:pic>
                        <pic:nvPicPr>
                          <pic:cNvPr id="0" name="image9.png"/>
                          <pic:cNvPicPr preferRelativeResize="0"/>
                        </pic:nvPicPr>
                        <pic:blipFill>
                          <a:blip r:embed="rId9"/>
                          <a:srcRect b="6090" l="10520" r="19424" t="12425"/>
                          <a:stretch>
                            <a:fillRect/>
                          </a:stretch>
                        </pic:blipFill>
                        <pic:spPr>
                          <a:xfrm>
                            <a:off x="0" y="0"/>
                            <a:ext cx="1428115" cy="1061085"/>
                          </a:xfrm>
                          <a:prstGeom prst="rect"/>
                          <a:ln/>
                        </pic:spPr>
                      </pic:pic>
                    </a:graphicData>
                  </a:graphic>
                </wp:anchor>
              </w:drawing>
            </w:r>
          </w:p>
        </w:tc>
        <w:tc>
          <w:tcP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365760</wp:posOffset>
                  </wp:positionH>
                  <wp:positionV relativeFrom="paragraph">
                    <wp:posOffset>137795</wp:posOffset>
                  </wp:positionV>
                  <wp:extent cx="1247140" cy="1118870"/>
                  <wp:effectExtent b="0" l="0" r="0" t="0"/>
                  <wp:wrapSquare wrapText="bothSides" distB="0" distT="0" distL="0" distR="0"/>
                  <wp:docPr id="1036" name="image10.png"/>
                  <a:graphic>
                    <a:graphicData uri="http://schemas.openxmlformats.org/drawingml/2006/picture">
                      <pic:pic>
                        <pic:nvPicPr>
                          <pic:cNvPr id="0" name="image10.png"/>
                          <pic:cNvPicPr preferRelativeResize="0"/>
                        </pic:nvPicPr>
                        <pic:blipFill>
                          <a:blip r:embed="rId10"/>
                          <a:srcRect b="17004" l="18859" r="26516" t="28001"/>
                          <a:stretch>
                            <a:fillRect/>
                          </a:stretch>
                        </pic:blipFill>
                        <pic:spPr>
                          <a:xfrm>
                            <a:off x="0" y="0"/>
                            <a:ext cx="1247140" cy="1118870"/>
                          </a:xfrm>
                          <a:prstGeom prst="rect"/>
                          <a:ln/>
                        </pic:spPr>
                      </pic:pic>
                    </a:graphicData>
                  </a:graphic>
                </wp:anchor>
              </w:drawing>
            </w:r>
          </w:p>
        </w:tc>
        <w:tc>
          <w:tcP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478155</wp:posOffset>
                  </wp:positionH>
                  <wp:positionV relativeFrom="paragraph">
                    <wp:posOffset>118745</wp:posOffset>
                  </wp:positionV>
                  <wp:extent cx="1066165" cy="1231900"/>
                  <wp:effectExtent b="0" l="0" r="0" t="0"/>
                  <wp:wrapSquare wrapText="bothSides" distB="0" distT="0" distL="0" distR="0"/>
                  <wp:docPr id="1034" name="image7.png"/>
                  <a:graphic>
                    <a:graphicData uri="http://schemas.openxmlformats.org/drawingml/2006/picture">
                      <pic:pic>
                        <pic:nvPicPr>
                          <pic:cNvPr id="0" name="image7.png"/>
                          <pic:cNvPicPr preferRelativeResize="0"/>
                        </pic:nvPicPr>
                        <pic:blipFill>
                          <a:blip r:embed="rId11"/>
                          <a:srcRect b="10694" l="25987" r="27542" t="8732"/>
                          <a:stretch>
                            <a:fillRect/>
                          </a:stretch>
                        </pic:blipFill>
                        <pic:spPr>
                          <a:xfrm>
                            <a:off x="0" y="0"/>
                            <a:ext cx="1066165" cy="1231900"/>
                          </a:xfrm>
                          <a:prstGeom prst="rect"/>
                          <a:ln/>
                        </pic:spPr>
                      </pic:pic>
                    </a:graphicData>
                  </a:graphic>
                </wp:anchor>
              </w:drawing>
            </w:r>
          </w:p>
        </w:tc>
      </w:tr>
      <w:tr>
        <w:trPr>
          <w:cantSplit w:val="0"/>
          <w:tblHeader w:val="0"/>
        </w:trPr>
        <w:tc>
          <w:tcP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 Number: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4610010</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Adult</w:t>
              <w:br w:type="textWrapping"/>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MK-01</w:t>
              <w:br w:type="textWrapping"/>
              <w:br w:type="textWrapping"/>
              <w:t xml:space="preserve">Pack of 25</w:t>
              <w:br w:type="textWrapping"/>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Comparable to Medtronic/Covidien </w:t>
              <w:br w:type="textWrapping"/>
              <w:t xml:space="preserve">Item No. </w:t>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186-0106 </w:t>
            </w:r>
          </w:p>
        </w:tc>
        <w:tc>
          <w:tcP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 Number: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4610011</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Paediatric</w:t>
              <w:br w:type="textWrapping"/>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MK-02</w:t>
              <w:br w:type="textWrapping"/>
              <w:br w:type="textWrapping"/>
              <w:t xml:space="preserve">Pack of 25</w:t>
              <w:br w:type="textWrapping"/>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Comparable to Medtronic/Covidien </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Item No. </w:t>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186-0200</w:t>
            </w:r>
          </w:p>
        </w:tc>
        <w:tc>
          <w:tcP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 Number: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4610012</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Bilateral Adult</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MK-04</w:t>
              <w:br w:type="textWrapping"/>
              <w:br w:type="textWrapping"/>
              <w:t xml:space="preserve">Pack of 25</w:t>
              <w:br w:type="textWrapping"/>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Comparable to Medtronic/Covidien </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Item No. </w:t>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186-0212</w:t>
            </w:r>
          </w:p>
        </w:tc>
      </w:tr>
    </w:tbl>
    <w:p w:rsidR="00000000" w:rsidDel="00000000" w:rsidP="00000000" w:rsidRDefault="00000000" w:rsidRPr="00000000" w14:paraId="00000035">
      <w:pPr>
        <w:rPr>
          <w:rFonts w:ascii="Arial" w:cs="Arial" w:eastAsia="Arial" w:hAnsi="Arial"/>
          <w:sz w:val="22"/>
          <w:szCs w:val="22"/>
          <w:u w:val="single"/>
          <w:vertAlign w:val="baseline"/>
        </w:rPr>
      </w:pPr>
      <w:r w:rsidDel="00000000" w:rsidR="00000000" w:rsidRPr="00000000">
        <w:rPr>
          <w:rtl w:val="0"/>
        </w:rPr>
      </w:r>
    </w:p>
    <w:p w:rsidR="00000000" w:rsidDel="00000000" w:rsidP="00000000" w:rsidRDefault="00000000" w:rsidRPr="00000000" w14:paraId="00000036">
      <w:pPr>
        <w:rPr>
          <w:rFonts w:ascii="Arial" w:cs="Arial" w:eastAsia="Arial" w:hAnsi="Arial"/>
          <w:b w:val="0"/>
          <w:sz w:val="22"/>
          <w:szCs w:val="22"/>
          <w:u w:val="single"/>
          <w:vertAlign w:val="baseline"/>
        </w:rPr>
      </w:pPr>
      <w:r w:rsidDel="00000000" w:rsidR="00000000" w:rsidRPr="00000000">
        <w:rPr>
          <w:rFonts w:ascii="Arial" w:cs="Arial" w:eastAsia="Arial" w:hAnsi="Arial"/>
          <w:b w:val="1"/>
          <w:sz w:val="22"/>
          <w:szCs w:val="22"/>
          <w:u w:val="single"/>
          <w:vertAlign w:val="baseline"/>
          <w:rtl w:val="0"/>
        </w:rPr>
        <w:t xml:space="preserve">Product Label</w:t>
        <w:br w:type="textWrapping"/>
      </w:r>
      <w:r w:rsidDel="00000000" w:rsidR="00000000" w:rsidRPr="00000000">
        <w:rPr>
          <w:rtl w:val="0"/>
        </w:rPr>
      </w:r>
    </w:p>
    <w:p w:rsidR="00000000" w:rsidDel="00000000" w:rsidP="00000000" w:rsidRDefault="00000000" w:rsidRPr="00000000" w14:paraId="00000037">
      <w:pPr>
        <w:ind w:left="720" w:firstLine="0"/>
        <w:rPr>
          <w:rFonts w:ascii="Arial" w:cs="Arial" w:eastAsia="Arial" w:hAnsi="Arial"/>
          <w:sz w:val="22"/>
          <w:szCs w:val="22"/>
          <w:vertAlign w:val="baseline"/>
        </w:rPr>
      </w:pPr>
      <w:r w:rsidDel="00000000" w:rsidR="00000000" w:rsidRPr="00000000">
        <w:rPr>
          <w:vertAlign w:val="baseline"/>
        </w:rPr>
        <w:drawing>
          <wp:inline distB="0" distT="0" distL="0" distR="0">
            <wp:extent cx="3355340" cy="2199005"/>
            <wp:effectExtent b="0" l="0" r="0" t="0"/>
            <wp:docPr id="1031"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3355340" cy="2199005"/>
                    </a:xfrm>
                    <a:prstGeom prst="rect"/>
                    <a:ln/>
                  </pic:spPr>
                </pic:pic>
              </a:graphicData>
            </a:graphic>
          </wp:inline>
        </w:drawing>
      </w:r>
      <w:r w:rsidDel="00000000" w:rsidR="00000000" w:rsidRPr="00000000">
        <w:rPr>
          <w:vertAlign w:val="baseline"/>
          <w:rtl w:val="0"/>
        </w:rPr>
        <w:br w:type="textWrapp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3708400</wp:posOffset>
                </wp:positionH>
                <wp:positionV relativeFrom="paragraph">
                  <wp:posOffset>2120900</wp:posOffset>
                </wp:positionV>
                <wp:extent cx="725805" cy="2211070"/>
                <wp:effectExtent b="0" l="0" r="0" t="0"/>
                <wp:wrapNone/>
                <wp:docPr id="1028" name=""/>
                <a:graphic>
                  <a:graphicData uri="http://schemas.microsoft.com/office/word/2010/wordprocessingShape">
                    <wps:wsp>
                      <wps:cNvCnPr/>
                      <wps:spPr>
                        <a:xfrm>
                          <a:off x="5002148" y="2693515"/>
                          <a:ext cx="687705" cy="2172970"/>
                        </a:xfrm>
                        <a:prstGeom prst="straightConnector1">
                          <a:avLst/>
                        </a:prstGeom>
                        <a:solidFill>
                          <a:srgbClr val="FFFFFF"/>
                        </a:solidFill>
                        <a:ln cap="flat" cmpd="sng" w="38100">
                          <a:solidFill>
                            <a:srgbClr val="F2F2F2"/>
                          </a:solidFill>
                          <a:prstDash val="solid"/>
                          <a:miter lim="800000"/>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3708400</wp:posOffset>
                </wp:positionH>
                <wp:positionV relativeFrom="paragraph">
                  <wp:posOffset>2120900</wp:posOffset>
                </wp:positionV>
                <wp:extent cx="725805" cy="2211070"/>
                <wp:effectExtent b="0" l="0" r="0" t="0"/>
                <wp:wrapNone/>
                <wp:docPr id="1028"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725805" cy="2211070"/>
                        </a:xfrm>
                        <a:prstGeom prst="rect"/>
                        <a:ln/>
                      </pic:spPr>
                    </pic:pic>
                  </a:graphicData>
                </a:graphic>
              </wp:anchor>
            </w:drawing>
          </mc:Fallback>
        </mc:AlternateContent>
      </w:r>
    </w:p>
    <w:p w:rsidR="00000000" w:rsidDel="00000000" w:rsidP="00000000" w:rsidRDefault="00000000" w:rsidRPr="00000000" w14:paraId="00000038">
      <w:pPr>
        <w:rPr>
          <w:rFonts w:ascii="Arial" w:cs="Arial" w:eastAsia="Arial" w:hAnsi="Arial"/>
          <w:b w:val="0"/>
          <w:sz w:val="22"/>
          <w:szCs w:val="22"/>
          <w:u w:val="single"/>
          <w:vertAlign w:val="baseline"/>
        </w:rPr>
      </w:pPr>
      <w:r w:rsidDel="00000000" w:rsidR="00000000" w:rsidRPr="00000000">
        <w:rPr>
          <w:rFonts w:ascii="Arial" w:cs="Arial" w:eastAsia="Arial" w:hAnsi="Arial"/>
          <w:b w:val="1"/>
          <w:sz w:val="22"/>
          <w:szCs w:val="22"/>
          <w:u w:val="single"/>
          <w:vertAlign w:val="baseline"/>
          <w:rtl w:val="0"/>
        </w:rPr>
        <w:t xml:space="preserve">Product Packaging (Single)</w:t>
        <w:br w:type="textWrapping"/>
      </w:r>
      <w:r w:rsidDel="00000000" w:rsidR="00000000" w:rsidRPr="00000000">
        <w:rPr>
          <w:rtl w:val="0"/>
        </w:rPr>
      </w:r>
    </w:p>
    <w:p w:rsidR="00000000" w:rsidDel="00000000" w:rsidP="00000000" w:rsidRDefault="00000000" w:rsidRPr="00000000" w14:paraId="00000039">
      <w:pPr>
        <w:rPr>
          <w:rFonts w:ascii="Arial" w:cs="Arial" w:eastAsia="Arial" w:hAnsi="Arial"/>
          <w:sz w:val="18"/>
          <w:szCs w:val="18"/>
          <w:vertAlign w:val="baseline"/>
        </w:rPr>
      </w:pPr>
      <w:r w:rsidDel="00000000" w:rsidR="00000000" w:rsidRPr="00000000">
        <w:rPr>
          <w:rFonts w:ascii="Arial" w:cs="Arial" w:eastAsia="Arial" w:hAnsi="Arial"/>
          <w:b w:val="1"/>
          <w:sz w:val="22"/>
          <w:szCs w:val="22"/>
          <w:vertAlign w:val="baseline"/>
        </w:rPr>
        <w:drawing>
          <wp:inline distB="0" distT="0" distL="114300" distR="114300">
            <wp:extent cx="5150485" cy="1337310"/>
            <wp:effectExtent b="0" l="0" r="0" t="0"/>
            <wp:docPr id="1033"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5150485" cy="1337310"/>
                    </a:xfrm>
                    <a:prstGeom prst="rect"/>
                    <a:ln/>
                  </pic:spPr>
                </pic:pic>
              </a:graphicData>
            </a:graphic>
          </wp:inline>
        </w:drawing>
      </w:r>
      <w:r w:rsidDel="00000000" w:rsidR="00000000" w:rsidRPr="00000000">
        <w:rPr>
          <w:rFonts w:ascii="Arial" w:cs="Arial" w:eastAsia="Arial" w:hAnsi="Arial"/>
          <w:b w:val="1"/>
          <w:sz w:val="22"/>
          <w:szCs w:val="22"/>
          <w:vertAlign w:val="baseline"/>
        </w:rPr>
        <w:drawing>
          <wp:inline distB="0" distT="0" distL="114300" distR="114300">
            <wp:extent cx="5137150" cy="1296670"/>
            <wp:effectExtent b="0" l="0" r="0" t="0"/>
            <wp:docPr id="1032" name="image4.jpg"/>
            <a:graphic>
              <a:graphicData uri="http://schemas.openxmlformats.org/drawingml/2006/picture">
                <pic:pic>
                  <pic:nvPicPr>
                    <pic:cNvPr id="0" name="image4.jpg"/>
                    <pic:cNvPicPr preferRelativeResize="0"/>
                  </pic:nvPicPr>
                  <pic:blipFill>
                    <a:blip r:embed="rId15"/>
                    <a:srcRect b="0" l="0" r="0" t="0"/>
                    <a:stretch>
                      <a:fillRect/>
                    </a:stretch>
                  </pic:blipFill>
                  <pic:spPr>
                    <a:xfrm>
                      <a:off x="0" y="0"/>
                      <a:ext cx="5137150" cy="1296670"/>
                    </a:xfrm>
                    <a:prstGeom prst="rect"/>
                    <a:ln/>
                  </pic:spPr>
                </pic:pic>
              </a:graphicData>
            </a:graphic>
          </wp:inline>
        </w:drawing>
      </w:r>
      <w:r w:rsidDel="00000000" w:rsidR="00000000" w:rsidRPr="00000000">
        <w:rPr>
          <w:rFonts w:ascii="Arial" w:cs="Arial" w:eastAsia="Arial" w:hAnsi="Arial"/>
          <w:b w:val="1"/>
          <w:sz w:val="22"/>
          <w:szCs w:val="22"/>
          <w:vertAlign w:val="baseline"/>
          <w:rtl w:val="0"/>
        </w:rPr>
        <w:br w:type="textWrapping"/>
      </w:r>
      <w:r w:rsidDel="00000000" w:rsidR="00000000" w:rsidRPr="00000000">
        <w:rPr>
          <w:rFonts w:ascii="Arial" w:cs="Arial" w:eastAsia="Arial" w:hAnsi="Arial"/>
          <w:sz w:val="18"/>
          <w:szCs w:val="18"/>
          <w:vertAlign w:val="baseline"/>
          <w:rtl w:val="0"/>
        </w:rPr>
        <w:t xml:space="preserve">N.B. The box of 25 is provided in a plain white box with a single product label to show serials number etc. </w:t>
        <w:br w:type="textWrapping"/>
      </w:r>
    </w:p>
    <w:p w:rsidR="00000000" w:rsidDel="00000000" w:rsidP="00000000" w:rsidRDefault="00000000" w:rsidRPr="00000000" w14:paraId="0000003A">
      <w:pPr>
        <w:numPr>
          <w:ilvl w:val="0"/>
          <w:numId w:val="2"/>
        </w:numPr>
        <w:ind w:left="284" w:hanging="284"/>
        <w:rPr>
          <w:rFonts w:ascii="Arial" w:cs="Arial" w:eastAsia="Arial" w:hAnsi="Arial"/>
          <w:sz w:val="22"/>
          <w:szCs w:val="22"/>
          <w:vertAlign w:val="baseline"/>
        </w:rPr>
      </w:pPr>
      <w:r w:rsidDel="00000000" w:rsidR="00000000" w:rsidRPr="00000000">
        <w:rPr>
          <w:rFonts w:ascii="Arial" w:cs="Arial" w:eastAsia="Arial" w:hAnsi="Arial"/>
          <w:b w:val="1"/>
          <w:sz w:val="22"/>
          <w:szCs w:val="22"/>
          <w:vertAlign w:val="baseline"/>
          <w:rtl w:val="0"/>
        </w:rPr>
        <w:t xml:space="preserve">Disposable Single-Use Entropy EEG Sensors</w:t>
        <w:br w:type="textWrapping"/>
      </w:r>
      <w:r w:rsidDel="00000000" w:rsidR="00000000" w:rsidRPr="00000000">
        <w:rPr>
          <w:rtl w:val="0"/>
        </w:rPr>
      </w:r>
    </w:p>
    <w:p w:rsidR="00000000" w:rsidDel="00000000" w:rsidP="00000000" w:rsidRDefault="00000000" w:rsidRPr="00000000" w14:paraId="0000003B">
      <w:pPr>
        <w:ind w:left="720" w:firstLine="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Disposable, single-use EEG sensors are specifically designed for anaesthesiologists and medical professionals to monitor the state of the brain by data acquisition of </w:t>
      </w:r>
      <w:r w:rsidDel="00000000" w:rsidR="00000000" w:rsidRPr="00000000">
        <w:rPr>
          <w:rFonts w:ascii="Arial" w:cs="Arial" w:eastAsia="Arial" w:hAnsi="Arial"/>
          <w:b w:val="1"/>
          <w:sz w:val="22"/>
          <w:szCs w:val="22"/>
          <w:vertAlign w:val="baseline"/>
          <w:rtl w:val="0"/>
        </w:rPr>
        <w:t xml:space="preserve">electroencephalograph (EEG) and frontal electromyograph (FEMG) signals</w:t>
      </w:r>
      <w:r w:rsidDel="00000000" w:rsidR="00000000" w:rsidRPr="00000000">
        <w:rPr>
          <w:rFonts w:ascii="Arial" w:cs="Arial" w:eastAsia="Arial" w:hAnsi="Arial"/>
          <w:sz w:val="22"/>
          <w:szCs w:val="22"/>
          <w:vertAlign w:val="baseline"/>
          <w:rtl w:val="0"/>
        </w:rPr>
        <w:t xml:space="preserve">. </w:t>
      </w:r>
    </w:p>
    <w:p w:rsidR="00000000" w:rsidDel="00000000" w:rsidP="00000000" w:rsidRDefault="00000000" w:rsidRPr="00000000" w14:paraId="0000003C">
      <w:pPr>
        <w:ind w:left="720" w:firstLine="0"/>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3D">
      <w:pPr>
        <w:numPr>
          <w:ilvl w:val="0"/>
          <w:numId w:val="1"/>
        </w:numPr>
        <w:ind w:left="1134" w:hanging="34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Available for use with both adult and paediatric patients older than 2 years old.</w:t>
      </w:r>
    </w:p>
    <w:p w:rsidR="00000000" w:rsidDel="00000000" w:rsidP="00000000" w:rsidRDefault="00000000" w:rsidRPr="00000000" w14:paraId="0000003E">
      <w:pPr>
        <w:numPr>
          <w:ilvl w:val="0"/>
          <w:numId w:val="1"/>
        </w:numPr>
        <w:ind w:left="1134" w:hanging="34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Clinically tested, high-measurement accuracy; “entropy is considered to be a more accurate and reliable indicator of hypnotic effects of anaesthetic and sedative drugs</w:t>
      </w:r>
      <w:r w:rsidDel="00000000" w:rsidR="00000000" w:rsidRPr="00000000">
        <w:rPr>
          <w:rFonts w:ascii="Arial" w:cs="Arial" w:eastAsia="Arial" w:hAnsi="Arial"/>
          <w:sz w:val="22"/>
          <w:szCs w:val="22"/>
          <w:vertAlign w:val="superscript"/>
        </w:rPr>
        <w:footnoteReference w:customMarkFollows="0" w:id="0"/>
      </w:r>
      <w:r w:rsidDel="00000000" w:rsidR="00000000" w:rsidRPr="00000000">
        <w:rPr>
          <w:rFonts w:ascii="Arial" w:cs="Arial" w:eastAsia="Arial" w:hAnsi="Arial"/>
          <w:sz w:val="22"/>
          <w:szCs w:val="22"/>
          <w:vertAlign w:val="baseline"/>
          <w:rtl w:val="0"/>
        </w:rPr>
        <w:t xml:space="preserve">”</w:t>
      </w:r>
    </w:p>
    <w:p w:rsidR="00000000" w:rsidDel="00000000" w:rsidP="00000000" w:rsidRDefault="00000000" w:rsidRPr="00000000" w14:paraId="0000003F">
      <w:pPr>
        <w:numPr>
          <w:ilvl w:val="0"/>
          <w:numId w:val="1"/>
        </w:numPr>
        <w:ind w:left="1134" w:hanging="34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Soft and bio-compatible material </w:t>
      </w:r>
    </w:p>
    <w:p w:rsidR="00000000" w:rsidDel="00000000" w:rsidP="00000000" w:rsidRDefault="00000000" w:rsidRPr="00000000" w14:paraId="00000040">
      <w:pPr>
        <w:numPr>
          <w:ilvl w:val="0"/>
          <w:numId w:val="1"/>
        </w:numPr>
        <w:ind w:left="1134" w:hanging="34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Latex-free </w:t>
      </w:r>
    </w:p>
    <w:p w:rsidR="00000000" w:rsidDel="00000000" w:rsidP="00000000" w:rsidRDefault="00000000" w:rsidRPr="00000000" w14:paraId="00000041">
      <w:pPr>
        <w:ind w:left="1134" w:hanging="340"/>
        <w:jc w:val="center"/>
        <w:rPr>
          <w:rFonts w:ascii="Arial" w:cs="Arial" w:eastAsia="Arial" w:hAnsi="Arial"/>
          <w:sz w:val="22"/>
          <w:szCs w:val="22"/>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781685</wp:posOffset>
            </wp:positionH>
            <wp:positionV relativeFrom="paragraph">
              <wp:posOffset>167005</wp:posOffset>
            </wp:positionV>
            <wp:extent cx="4795520" cy="736600"/>
            <wp:effectExtent b="0" l="0" r="0" t="0"/>
            <wp:wrapSquare wrapText="bothSides" distB="0" distT="0" distL="0" distR="0"/>
            <wp:docPr id="1030" name="image6.jpg"/>
            <a:graphic>
              <a:graphicData uri="http://schemas.openxmlformats.org/drawingml/2006/picture">
                <pic:pic>
                  <pic:nvPicPr>
                    <pic:cNvPr id="0" name="image6.jpg"/>
                    <pic:cNvPicPr preferRelativeResize="0"/>
                  </pic:nvPicPr>
                  <pic:blipFill>
                    <a:blip r:embed="rId16"/>
                    <a:srcRect b="0" l="0" r="0" t="0"/>
                    <a:stretch>
                      <a:fillRect/>
                    </a:stretch>
                  </pic:blipFill>
                  <pic:spPr>
                    <a:xfrm>
                      <a:off x="0" y="0"/>
                      <a:ext cx="4795520" cy="736600"/>
                    </a:xfrm>
                    <a:prstGeom prst="rect"/>
                    <a:ln/>
                  </pic:spPr>
                </pic:pic>
              </a:graphicData>
            </a:graphic>
          </wp:anchor>
        </w:drawing>
      </w:r>
    </w:p>
    <w:tbl>
      <w:tblPr>
        <w:tblStyle w:val="Table2"/>
        <w:tblW w:w="5954.0" w:type="dxa"/>
        <w:jc w:val="center"/>
        <w:tblLayout w:type="fixed"/>
        <w:tblLook w:val="0000"/>
      </w:tblPr>
      <w:tblGrid>
        <w:gridCol w:w="5954"/>
        <w:tblGridChange w:id="0">
          <w:tblGrid>
            <w:gridCol w:w="5954"/>
          </w:tblGrid>
        </w:tblGridChange>
      </w:tblGrid>
      <w:tr>
        <w:trPr>
          <w:cantSplit w:val="0"/>
          <w:tblHeader w:val="0"/>
        </w:trPr>
        <w:tc>
          <w:tcPr>
            <w:tcBorders>
              <w:bottom w:color="000000" w:space="0" w:sz="4" w:val="single"/>
            </w:tcBorders>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br w:type="textWrapping"/>
              <w:t xml:space="preserve">Part Number: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4610013</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Adult and Paediatric over 2 years old</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br w:type="textWrapping"/>
              <w:t xml:space="preserve">REF</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MK-03</w:t>
              <w:br w:type="textWrapping"/>
              <w:br w:type="textWrapping"/>
              <w:t xml:space="preserve">Pack of 25</w:t>
              <w:br w:type="textWrapping"/>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Comparable to GE Healthcare Item Nos. </w:t>
            </w: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M1174413 (sensor) and M1174414 (sensor and cable)</w:t>
              <w:br w:type="textWrapping"/>
            </w:r>
          </w:p>
        </w:tc>
      </w:tr>
    </w:tbl>
    <w:p w:rsidR="00000000" w:rsidDel="00000000" w:rsidP="00000000" w:rsidRDefault="00000000" w:rsidRPr="00000000" w14:paraId="00000048">
      <w:pPr>
        <w:rPr>
          <w:rFonts w:ascii="Arial" w:cs="Arial" w:eastAsia="Arial" w:hAnsi="Arial"/>
          <w:sz w:val="22"/>
          <w:szCs w:val="22"/>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196215</wp:posOffset>
            </wp:positionV>
            <wp:extent cx="6119495" cy="3631565"/>
            <wp:effectExtent b="0" l="0" r="0" t="0"/>
            <wp:wrapSquare wrapText="bothSides" distB="0" distT="0" distL="0" distR="0"/>
            <wp:docPr id="1029"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6119495" cy="3631565"/>
                    </a:xfrm>
                    <a:prstGeom prst="rect"/>
                    <a:ln/>
                  </pic:spPr>
                </pic:pic>
              </a:graphicData>
            </a:graphic>
          </wp:anchor>
        </w:drawing>
      </w:r>
    </w:p>
    <w:p w:rsidR="00000000" w:rsidDel="00000000" w:rsidP="00000000" w:rsidRDefault="00000000" w:rsidRPr="00000000" w14:paraId="00000049">
      <w:pPr>
        <w:rPr>
          <w:rFonts w:ascii="Arial" w:cs="Arial" w:eastAsia="Arial" w:hAnsi="Arial"/>
          <w:sz w:val="18"/>
          <w:szCs w:val="18"/>
          <w:vertAlign w:val="baseline"/>
        </w:rPr>
      </w:pPr>
      <w:r w:rsidDel="00000000" w:rsidR="00000000" w:rsidRPr="00000000">
        <w:rPr>
          <w:rFonts w:ascii="Arial" w:cs="Arial" w:eastAsia="Arial" w:hAnsi="Arial"/>
          <w:sz w:val="16"/>
          <w:szCs w:val="16"/>
          <w:vertAlign w:val="baseline"/>
          <w:rtl w:val="0"/>
        </w:rPr>
        <w:t xml:space="preserve">N.B. The box of 25 is provided in a plain white box with a single product label to show serials number etc. </w:t>
      </w:r>
      <w:r w:rsidDel="00000000" w:rsidR="00000000" w:rsidRPr="00000000">
        <w:rPr>
          <w:rtl w:val="0"/>
        </w:rPr>
      </w:r>
    </w:p>
    <w:p w:rsidR="00000000" w:rsidDel="00000000" w:rsidP="00000000" w:rsidRDefault="00000000" w:rsidRPr="00000000" w14:paraId="0000004A">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B">
      <w:pPr>
        <w:rPr>
          <w:vertAlign w:val="baseline"/>
        </w:rPr>
      </w:pPr>
      <w:r w:rsidDel="00000000" w:rsidR="00000000" w:rsidRPr="00000000">
        <w:br w:type="page"/>
      </w:r>
      <w:r w:rsidDel="00000000" w:rsidR="00000000" w:rsidRPr="00000000">
        <w:rPr>
          <w:rFonts w:ascii="Arial" w:cs="Arial" w:eastAsia="Arial" w:hAnsi="Arial"/>
          <w:b w:val="1"/>
          <w:sz w:val="22"/>
          <w:szCs w:val="22"/>
          <w:u w:val="single"/>
          <w:vertAlign w:val="baseline"/>
          <w:rtl w:val="0"/>
        </w:rPr>
        <w:t xml:space="preserve">Cross Reference </w:t>
        <w:br w:type="textWrapping"/>
      </w:r>
      <w:r w:rsidDel="00000000" w:rsidR="00000000" w:rsidRPr="00000000">
        <w:rPr>
          <w:rtl w:val="0"/>
        </w:rPr>
      </w:r>
    </w:p>
    <w:p w:rsidR="00000000" w:rsidDel="00000000" w:rsidP="00000000" w:rsidRDefault="00000000" w:rsidRPr="00000000" w14:paraId="0000004C">
      <w:pPr>
        <w:rPr>
          <w:rFonts w:ascii="Arial" w:cs="Arial" w:eastAsia="Arial" w:hAnsi="Arial"/>
          <w:b w:val="0"/>
          <w:sz w:val="22"/>
          <w:szCs w:val="22"/>
          <w:u w:val="single"/>
          <w:vertAlign w:val="baseline"/>
        </w:rPr>
      </w:pPr>
      <w:r w:rsidDel="00000000" w:rsidR="00000000" w:rsidRPr="00000000">
        <w:rPr>
          <w:rFonts w:ascii="Arial" w:cs="Arial" w:eastAsia="Arial" w:hAnsi="Arial"/>
          <w:sz w:val="22"/>
          <w:szCs w:val="22"/>
          <w:vertAlign w:val="baseline"/>
          <w:rtl w:val="0"/>
        </w:rPr>
        <w:t xml:space="preserve">Cross reference can be found in Intrastats, drop down menu, cross references, select group </w:t>
        <w:br w:type="textWrapping"/>
        <w:t xml:space="preserve">“EEG Cables”. </w:t>
        <w:br w:type="textWrapping"/>
      </w:r>
      <w:r w:rsidDel="00000000" w:rsidR="00000000" w:rsidRPr="00000000">
        <w:rPr>
          <w:rtl w:val="0"/>
        </w:rPr>
      </w:r>
    </w:p>
    <w:p w:rsidR="00000000" w:rsidDel="00000000" w:rsidP="00000000" w:rsidRDefault="00000000" w:rsidRPr="00000000" w14:paraId="0000004D">
      <w:pPr>
        <w:rPr>
          <w:vertAlign w:val="baseline"/>
        </w:rPr>
      </w:pPr>
      <w:r w:rsidDel="00000000" w:rsidR="00000000" w:rsidRPr="00000000">
        <w:rPr>
          <w:rFonts w:ascii="Arial" w:cs="Arial" w:eastAsia="Arial" w:hAnsi="Arial"/>
          <w:b w:val="1"/>
          <w:sz w:val="22"/>
          <w:szCs w:val="22"/>
          <w:u w:val="single"/>
          <w:vertAlign w:val="baseline"/>
          <w:rtl w:val="0"/>
        </w:rPr>
        <w:t xml:space="preserve">Pricing </w:t>
        <w:br w:type="textWrapping"/>
      </w:r>
      <w:r w:rsidDel="00000000" w:rsidR="00000000" w:rsidRPr="00000000">
        <w:rPr>
          <w:rtl w:val="0"/>
        </w:rPr>
      </w:r>
    </w:p>
    <w:p w:rsidR="00000000" w:rsidDel="00000000" w:rsidP="00000000" w:rsidRDefault="00000000" w:rsidRPr="00000000" w14:paraId="0000004E">
      <w:pPr>
        <w:rPr>
          <w:vertAlign w:val="baseline"/>
        </w:rPr>
      </w:pPr>
      <w:r w:rsidDel="00000000" w:rsidR="00000000" w:rsidRPr="00000000">
        <w:rPr>
          <w:rFonts w:ascii="Arial" w:cs="Arial" w:eastAsia="Arial" w:hAnsi="Arial"/>
          <w:sz w:val="22"/>
          <w:szCs w:val="22"/>
          <w:vertAlign w:val="baseline"/>
          <w:rtl w:val="0"/>
        </w:rPr>
        <w:t xml:space="preserve">Pricing can be found on Intrastats, under the “£” symbol. There are also downloadable PDFs against the “£” or in the “i” section.</w:t>
      </w:r>
      <w:r w:rsidDel="00000000" w:rsidR="00000000" w:rsidRPr="00000000">
        <w:rPr>
          <w:rtl w:val="0"/>
        </w:rPr>
      </w:r>
    </w:p>
    <w:p w:rsidR="00000000" w:rsidDel="00000000" w:rsidP="00000000" w:rsidRDefault="00000000" w:rsidRPr="00000000" w14:paraId="0000004F">
      <w:pPr>
        <w:rPr>
          <w:vertAlign w:val="baseline"/>
        </w:rPr>
      </w:pPr>
      <w:r w:rsidDel="00000000" w:rsidR="00000000" w:rsidRPr="00000000">
        <w:rPr>
          <w:rFonts w:ascii="Arial" w:cs="Arial" w:eastAsia="Arial" w:hAnsi="Arial"/>
          <w:b w:val="1"/>
          <w:sz w:val="22"/>
          <w:szCs w:val="22"/>
          <w:u w:val="single"/>
          <w:vertAlign w:val="baseline"/>
          <w:rtl w:val="0"/>
        </w:rPr>
        <w:br w:type="textWrapping"/>
        <w:t xml:space="preserve">Marketing Materials</w:t>
        <w:br w:type="textWrapping"/>
      </w:r>
      <w:r w:rsidDel="00000000" w:rsidR="00000000" w:rsidRPr="00000000">
        <w:rPr>
          <w:rtl w:val="0"/>
        </w:rPr>
      </w:r>
    </w:p>
    <w:p w:rsidR="00000000" w:rsidDel="00000000" w:rsidP="00000000" w:rsidRDefault="00000000" w:rsidRPr="00000000" w14:paraId="00000050">
      <w:pPr>
        <w:rPr>
          <w:vertAlign w:val="baseline"/>
        </w:rPr>
      </w:pPr>
      <w:r w:rsidDel="00000000" w:rsidR="00000000" w:rsidRPr="00000000">
        <w:rPr>
          <w:rFonts w:ascii="Arial" w:cs="Arial" w:eastAsia="Arial" w:hAnsi="Arial"/>
          <w:sz w:val="22"/>
          <w:szCs w:val="22"/>
          <w:vertAlign w:val="baseline"/>
          <w:rtl w:val="0"/>
        </w:rPr>
        <w:t xml:space="preserve">Up to date copies of marketing materials such as leaflets, manuals and price lists (or in the £ screen) can be found on the stock pages under the “i” icon.</w:t>
      </w:r>
      <w:r w:rsidDel="00000000" w:rsidR="00000000" w:rsidRPr="00000000">
        <w:rPr>
          <w:rtl w:val="0"/>
        </w:rPr>
      </w:r>
    </w:p>
    <w:p w:rsidR="00000000" w:rsidDel="00000000" w:rsidP="00000000" w:rsidRDefault="00000000" w:rsidRPr="00000000" w14:paraId="00000051">
      <w:pPr>
        <w:rPr>
          <w:vertAlign w:val="baseline"/>
        </w:rPr>
      </w:pPr>
      <w:r w:rsidDel="00000000" w:rsidR="00000000" w:rsidRPr="00000000">
        <w:rPr>
          <w:rFonts w:ascii="Arial" w:cs="Arial" w:eastAsia="Arial" w:hAnsi="Arial"/>
          <w:b w:val="1"/>
          <w:sz w:val="22"/>
          <w:szCs w:val="22"/>
          <w:u w:val="single"/>
          <w:vertAlign w:val="baseline"/>
          <w:rtl w:val="0"/>
        </w:rPr>
        <w:br w:type="textWrapping"/>
        <w:t xml:space="preserve">Certifications</w:t>
        <w:br w:type="textWrapping"/>
      </w:r>
      <w:r w:rsidDel="00000000" w:rsidR="00000000" w:rsidRPr="00000000">
        <w:rPr>
          <w:rtl w:val="0"/>
        </w:rPr>
      </w:r>
    </w:p>
    <w:p w:rsidR="00000000" w:rsidDel="00000000" w:rsidP="00000000" w:rsidRDefault="00000000" w:rsidRPr="00000000" w14:paraId="00000052">
      <w:pPr>
        <w:rPr>
          <w:vertAlign w:val="baseline"/>
        </w:rPr>
      </w:pPr>
      <w:r w:rsidDel="00000000" w:rsidR="00000000" w:rsidRPr="00000000">
        <w:rPr>
          <w:rFonts w:ascii="Arial" w:cs="Arial" w:eastAsia="Arial" w:hAnsi="Arial"/>
          <w:sz w:val="22"/>
          <w:szCs w:val="22"/>
          <w:vertAlign w:val="baseline"/>
          <w:rtl w:val="0"/>
        </w:rPr>
        <w:t xml:space="preserve">Should you require to find information on what certifications a product has please see the stock screen, “i” icon and find the “Certificates” option. Click this and it will open the document index and all related certificates for that line.</w:t>
      </w:r>
      <w:r w:rsidDel="00000000" w:rsidR="00000000" w:rsidRPr="00000000">
        <w:rPr>
          <w:rtl w:val="0"/>
        </w:rPr>
      </w:r>
    </w:p>
    <w:p w:rsidR="00000000" w:rsidDel="00000000" w:rsidP="00000000" w:rsidRDefault="00000000" w:rsidRPr="00000000" w14:paraId="00000053">
      <w:pPr>
        <w:rPr>
          <w:rFonts w:ascii="Arial" w:cs="Arial" w:eastAsia="Arial" w:hAnsi="Arial"/>
          <w:sz w:val="22"/>
          <w:szCs w:val="22"/>
          <w:vertAlign w:val="baseline"/>
        </w:rPr>
      </w:pPr>
      <w:r w:rsidDel="00000000" w:rsidR="00000000" w:rsidRPr="00000000">
        <w:rPr>
          <w:rtl w:val="0"/>
        </w:rPr>
      </w:r>
    </w:p>
    <w:sectPr>
      <w:pgSz w:h="16838" w:w="11906" w:orient="portrait"/>
      <w:pgMar w:bottom="992"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Noto Sans Symbols">
    <w:embedRegular w:fontKey="{00000000-0000-0000-0000-000000000000}" r:id="rId1" w:subsetted="0"/>
    <w:embedBold w:fontKey="{00000000-0000-0000-0000-000000000000}" r:id="rId2" w:subsetted="0"/>
  </w:font>
  <w:font w:name="Liberation Serif"/>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https://www.ncbi.nlm.nih.gov/pmc/articles/PMC3282514/#:~:text=Compared%20to%20BIS%2C%20entropy%20is,complex%20and%20unpredictable%20%5B1%5D.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2">
    <w:lvl w:ilvl="0">
      <w:start w:val="1"/>
      <w:numFmt w:val="decimal"/>
      <w:lvlText w:val="%1."/>
      <w:lvlJc w:val="left"/>
      <w:pPr>
        <w:ind w:left="720" w:hanging="360"/>
      </w:pPr>
      <w:rPr>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iberation Serif" w:cs="Liberation Serif" w:eastAsia="Liberation Serif" w:hAnsi="Liberation Serif"/>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0"/>
      <w:spacing w:line="1" w:lineRule="atLeast"/>
      <w:ind w:leftChars="-1" w:rightChars="0" w:firstLineChars="-1"/>
      <w:textDirection w:val="btLr"/>
      <w:textAlignment w:val="top"/>
      <w:outlineLvl w:val="0"/>
    </w:pPr>
    <w:rPr>
      <w:rFonts w:ascii="Liberation Serif" w:cs="Lucida Sans" w:eastAsia="NSimSun" w:hAnsi="Liberation Serif"/>
      <w:w w:val="100"/>
      <w:kern w:val="2"/>
      <w:position w:val="-1"/>
      <w:sz w:val="24"/>
      <w:szCs w:val="24"/>
      <w:effect w:val="none"/>
      <w:vertAlign w:val="baseline"/>
      <w:cs w:val="0"/>
      <w:em w:val="none"/>
      <w:lang w:bidi="hi-IN" w:eastAsia="zh-CN" w:val="en-GB"/>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NumberingSymbols">
    <w:name w:val="Numbering Symbols"/>
    <w:next w:val="NumberingSymbols"/>
    <w:autoRedefine w:val="0"/>
    <w:hidden w:val="0"/>
    <w:qFormat w:val="0"/>
    <w:rPr>
      <w:w w:val="100"/>
      <w:position w:val="-1"/>
      <w:effect w:val="none"/>
      <w:vertAlign w:val="baseline"/>
      <w:cs w:val="0"/>
      <w:em w:val="none"/>
      <w:lang/>
    </w:rPr>
  </w:style>
  <w:style w:type="character" w:styleId="Bullets">
    <w:name w:val="Bullets"/>
    <w:next w:val="Bullets"/>
    <w:autoRedefine w:val="0"/>
    <w:hidden w:val="0"/>
    <w:qFormat w:val="0"/>
    <w:rPr>
      <w:rFonts w:ascii="OpenSymbol" w:cs="OpenSymbol" w:eastAsia="OpenSymbol" w:hAnsi="OpenSymbol"/>
      <w:w w:val="100"/>
      <w:position w:val="-1"/>
      <w:effect w:val="none"/>
      <w:vertAlign w:val="baseline"/>
      <w:cs w:val="0"/>
      <w:em w:val="none"/>
      <w:lang/>
    </w:rPr>
  </w:style>
  <w:style w:type="paragraph" w:styleId="Heading">
    <w:name w:val="Heading"/>
    <w:basedOn w:val="Normal"/>
    <w:next w:val="BodyText"/>
    <w:autoRedefine w:val="0"/>
    <w:hidden w:val="0"/>
    <w:qFormat w:val="0"/>
    <w:pPr>
      <w:keepNext w:val="1"/>
      <w:suppressAutoHyphens w:val="0"/>
      <w:spacing w:after="120" w:before="240" w:line="1" w:lineRule="atLeast"/>
      <w:ind w:leftChars="-1" w:rightChars="0" w:firstLineChars="-1"/>
      <w:textDirection w:val="btLr"/>
      <w:textAlignment w:val="top"/>
      <w:outlineLvl w:val="0"/>
    </w:pPr>
    <w:rPr>
      <w:rFonts w:ascii="Liberation Sans" w:cs="Lucida Sans" w:eastAsia="Microsoft YaHei" w:hAnsi="Liberation Sans"/>
      <w:w w:val="100"/>
      <w:kern w:val="2"/>
      <w:position w:val="-1"/>
      <w:sz w:val="28"/>
      <w:szCs w:val="28"/>
      <w:effect w:val="none"/>
      <w:vertAlign w:val="baseline"/>
      <w:cs w:val="0"/>
      <w:em w:val="none"/>
      <w:lang w:bidi="hi-IN" w:eastAsia="zh-CN" w:val="en-GB"/>
    </w:rPr>
  </w:style>
  <w:style w:type="paragraph" w:styleId="BodyText">
    <w:name w:val="Body Text"/>
    <w:basedOn w:val="Normal"/>
    <w:next w:val="BodyText"/>
    <w:autoRedefine w:val="0"/>
    <w:hidden w:val="0"/>
    <w:qFormat w:val="0"/>
    <w:pPr>
      <w:suppressAutoHyphens w:val="0"/>
      <w:spacing w:after="140" w:before="0" w:line="276" w:lineRule="auto"/>
      <w:ind w:leftChars="-1" w:rightChars="0" w:firstLineChars="-1"/>
      <w:textDirection w:val="btLr"/>
      <w:textAlignment w:val="top"/>
      <w:outlineLvl w:val="0"/>
    </w:pPr>
    <w:rPr>
      <w:rFonts w:ascii="Liberation Serif" w:cs="Lucida Sans" w:eastAsia="NSimSun" w:hAnsi="Liberation Serif"/>
      <w:w w:val="100"/>
      <w:kern w:val="2"/>
      <w:position w:val="-1"/>
      <w:sz w:val="24"/>
      <w:szCs w:val="24"/>
      <w:effect w:val="none"/>
      <w:vertAlign w:val="baseline"/>
      <w:cs w:val="0"/>
      <w:em w:val="none"/>
      <w:lang w:bidi="hi-IN" w:eastAsia="zh-CN" w:val="en-GB"/>
    </w:rPr>
  </w:style>
  <w:style w:type="paragraph" w:styleId="List">
    <w:name w:val="List"/>
    <w:basedOn w:val="BodyText"/>
    <w:next w:val="List"/>
    <w:autoRedefine w:val="0"/>
    <w:hidden w:val="0"/>
    <w:qFormat w:val="0"/>
    <w:pPr>
      <w:suppressAutoHyphens w:val="0"/>
      <w:spacing w:after="140" w:before="0" w:line="276" w:lineRule="auto"/>
      <w:ind w:leftChars="-1" w:rightChars="0" w:firstLineChars="-1"/>
      <w:textDirection w:val="btLr"/>
      <w:textAlignment w:val="top"/>
      <w:outlineLvl w:val="0"/>
    </w:pPr>
    <w:rPr>
      <w:rFonts w:ascii="Liberation Serif" w:cs="Lucida Sans" w:eastAsia="NSimSun" w:hAnsi="Liberation Serif"/>
      <w:w w:val="100"/>
      <w:kern w:val="2"/>
      <w:position w:val="-1"/>
      <w:sz w:val="24"/>
      <w:szCs w:val="24"/>
      <w:effect w:val="none"/>
      <w:vertAlign w:val="baseline"/>
      <w:cs w:val="0"/>
      <w:em w:val="none"/>
      <w:lang w:bidi="hi-IN" w:eastAsia="zh-CN" w:val="en-GB"/>
    </w:rPr>
  </w:style>
  <w:style w:type="paragraph" w:styleId="Caption">
    <w:name w:val="Caption"/>
    <w:basedOn w:val="Normal"/>
    <w:next w:val="Caption"/>
    <w:autoRedefine w:val="0"/>
    <w:hidden w:val="0"/>
    <w:qFormat w:val="0"/>
    <w:pPr>
      <w:suppressLineNumbers w:val="1"/>
      <w:suppressAutoHyphens w:val="0"/>
      <w:spacing w:after="120" w:before="120" w:line="1" w:lineRule="atLeast"/>
      <w:ind w:leftChars="-1" w:rightChars="0" w:firstLineChars="-1"/>
      <w:textDirection w:val="btLr"/>
      <w:textAlignment w:val="top"/>
      <w:outlineLvl w:val="0"/>
    </w:pPr>
    <w:rPr>
      <w:rFonts w:ascii="Liberation Serif" w:cs="Lucida Sans" w:eastAsia="NSimSun" w:hAnsi="Liberation Serif"/>
      <w:i w:val="1"/>
      <w:iCs w:val="1"/>
      <w:w w:val="100"/>
      <w:kern w:val="2"/>
      <w:position w:val="-1"/>
      <w:sz w:val="24"/>
      <w:szCs w:val="24"/>
      <w:effect w:val="none"/>
      <w:vertAlign w:val="baseline"/>
      <w:cs w:val="0"/>
      <w:em w:val="none"/>
      <w:lang w:bidi="hi-IN" w:eastAsia="zh-CN" w:val="en-GB"/>
    </w:rPr>
  </w:style>
  <w:style w:type="paragraph" w:styleId="Index">
    <w:name w:val="Index"/>
    <w:basedOn w:val="Normal"/>
    <w:next w:val="Index"/>
    <w:autoRedefine w:val="0"/>
    <w:hidden w:val="0"/>
    <w:qFormat w:val="0"/>
    <w:pPr>
      <w:suppressLineNumbers w:val="1"/>
      <w:suppressAutoHyphens w:val="0"/>
      <w:spacing w:line="1" w:lineRule="atLeast"/>
      <w:ind w:leftChars="-1" w:rightChars="0" w:firstLineChars="-1"/>
      <w:textDirection w:val="btLr"/>
      <w:textAlignment w:val="top"/>
      <w:outlineLvl w:val="0"/>
    </w:pPr>
    <w:rPr>
      <w:rFonts w:ascii="Liberation Serif" w:cs="Lucida Sans" w:eastAsia="NSimSun" w:hAnsi="Liberation Serif"/>
      <w:w w:val="100"/>
      <w:kern w:val="2"/>
      <w:position w:val="-1"/>
      <w:sz w:val="24"/>
      <w:szCs w:val="24"/>
      <w:effect w:val="none"/>
      <w:vertAlign w:val="baseline"/>
      <w:cs w:val="0"/>
      <w:em w:val="none"/>
      <w:lang w:bidi="und" w:eastAsia="zh-CN" w:val="und"/>
    </w:rPr>
  </w:style>
  <w:style w:type="paragraph" w:styleId="TableContents">
    <w:name w:val="Table Contents"/>
    <w:basedOn w:val="Normal"/>
    <w:next w:val="TableContents"/>
    <w:autoRedefine w:val="0"/>
    <w:hidden w:val="0"/>
    <w:qFormat w:val="0"/>
    <w:pPr>
      <w:widowControl w:val="0"/>
      <w:suppressLineNumbers w:val="1"/>
      <w:suppressAutoHyphens w:val="0"/>
      <w:spacing w:line="1" w:lineRule="atLeast"/>
      <w:ind w:leftChars="-1" w:rightChars="0" w:firstLineChars="-1"/>
      <w:textDirection w:val="btLr"/>
      <w:textAlignment w:val="top"/>
      <w:outlineLvl w:val="0"/>
    </w:pPr>
    <w:rPr>
      <w:rFonts w:ascii="Liberation Serif" w:cs="Lucida Sans" w:eastAsia="NSimSun" w:hAnsi="Liberation Serif"/>
      <w:w w:val="100"/>
      <w:kern w:val="2"/>
      <w:position w:val="-1"/>
      <w:sz w:val="24"/>
      <w:szCs w:val="24"/>
      <w:effect w:val="none"/>
      <w:vertAlign w:val="baseline"/>
      <w:cs w:val="0"/>
      <w:em w:val="none"/>
      <w:lang w:bidi="hi-IN" w:eastAsia="zh-CN" w:val="en-GB"/>
    </w:rPr>
  </w:style>
  <w:style w:type="paragraph" w:styleId="TableHeading">
    <w:name w:val="Table Heading"/>
    <w:basedOn w:val="TableContents"/>
    <w:next w:val="TableHeading"/>
    <w:autoRedefine w:val="0"/>
    <w:hidden w:val="0"/>
    <w:qFormat w:val="0"/>
    <w:pPr>
      <w:widowControl w:val="0"/>
      <w:suppressLineNumbers w:val="1"/>
      <w:suppressAutoHyphens w:val="0"/>
      <w:spacing w:line="1" w:lineRule="atLeast"/>
      <w:ind w:leftChars="-1" w:rightChars="0" w:firstLineChars="-1"/>
      <w:jc w:val="center"/>
      <w:textDirection w:val="btLr"/>
      <w:textAlignment w:val="top"/>
      <w:outlineLvl w:val="0"/>
    </w:pPr>
    <w:rPr>
      <w:rFonts w:ascii="Liberation Serif" w:cs="Lucida Sans" w:eastAsia="NSimSun" w:hAnsi="Liberation Serif"/>
      <w:b w:val="1"/>
      <w:bCs w:val="1"/>
      <w:w w:val="100"/>
      <w:kern w:val="2"/>
      <w:position w:val="-1"/>
      <w:sz w:val="24"/>
      <w:szCs w:val="24"/>
      <w:effect w:val="none"/>
      <w:vertAlign w:val="baseline"/>
      <w:cs w:val="0"/>
      <w:em w:val="none"/>
      <w:lang w:bidi="hi-IN" w:eastAsia="zh-CN" w:val="en-GB"/>
    </w:rPr>
  </w:style>
  <w:style w:type="paragraph" w:styleId="FootnoteText">
    <w:name w:val="Footnote Text"/>
    <w:basedOn w:val="Normal"/>
    <w:next w:val="FootnoteText"/>
    <w:autoRedefine w:val="0"/>
    <w:hidden w:val="0"/>
    <w:qFormat w:val="1"/>
    <w:pPr>
      <w:suppressAutoHyphens w:val="0"/>
      <w:spacing w:line="1" w:lineRule="atLeast"/>
      <w:ind w:leftChars="-1" w:rightChars="0" w:firstLineChars="-1"/>
      <w:textDirection w:val="btLr"/>
      <w:textAlignment w:val="top"/>
      <w:outlineLvl w:val="0"/>
    </w:pPr>
    <w:rPr>
      <w:rFonts w:ascii="Liberation Serif" w:cs="Mangal" w:eastAsia="NSimSun" w:hAnsi="Liberation Serif"/>
      <w:w w:val="100"/>
      <w:kern w:val="2"/>
      <w:position w:val="-1"/>
      <w:sz w:val="20"/>
      <w:szCs w:val="18"/>
      <w:effect w:val="none"/>
      <w:vertAlign w:val="baseline"/>
      <w:cs w:val="0"/>
      <w:em w:val="none"/>
      <w:lang w:bidi="hi-IN" w:eastAsia="zh-CN" w:val="en-GB"/>
    </w:rPr>
  </w:style>
  <w:style w:type="character" w:styleId="FootnoteTextChar">
    <w:name w:val="Footnote Text Char"/>
    <w:next w:val="FootnoteTextChar"/>
    <w:autoRedefine w:val="0"/>
    <w:hidden w:val="0"/>
    <w:qFormat w:val="0"/>
    <w:rPr>
      <w:rFonts w:ascii="Liberation Serif" w:cs="Mangal" w:eastAsia="NSimSun" w:hAnsi="Liberation Serif"/>
      <w:w w:val="100"/>
      <w:kern w:val="2"/>
      <w:position w:val="-1"/>
      <w:szCs w:val="18"/>
      <w:effect w:val="none"/>
      <w:vertAlign w:val="baseline"/>
      <w:cs w:val="0"/>
      <w:em w:val="none"/>
      <w:lang w:bidi="hi-IN" w:eastAsia="zh-CN"/>
    </w:rPr>
  </w:style>
  <w:style w:type="character" w:styleId="FootnoteReference">
    <w:name w:val="Footnote Reference"/>
    <w:next w:val="FootnoteReference"/>
    <w:autoRedefine w:val="0"/>
    <w:hidden w:val="0"/>
    <w:qFormat w:val="1"/>
    <w:rPr>
      <w:w w:val="100"/>
      <w:position w:val="-1"/>
      <w:effect w:val="none"/>
      <w:vertAlign w:val="superscript"/>
      <w:cs w:val="0"/>
      <w:em w:val="none"/>
      <w:lang/>
    </w:rPr>
  </w:style>
  <w:style w:type="character" w:styleId="Hyperlink">
    <w:name w:val="Hyperlink"/>
    <w:next w:val="Hyperlink"/>
    <w:autoRedefine w:val="0"/>
    <w:hidden w:val="0"/>
    <w:qFormat w:val="0"/>
    <w:rPr>
      <w:color w:val="000080"/>
      <w:w w:val="100"/>
      <w:position w:val="-1"/>
      <w:u w:val="single"/>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10.png"/><Relationship Id="rId13" Type="http://schemas.openxmlformats.org/officeDocument/2006/relationships/image" Target="media/image5.pn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9.png"/><Relationship Id="rId15" Type="http://schemas.openxmlformats.org/officeDocument/2006/relationships/image" Target="media/image4.jpg"/><Relationship Id="rId14" Type="http://schemas.openxmlformats.org/officeDocument/2006/relationships/image" Target="media/image3.jpg"/><Relationship Id="rId17" Type="http://schemas.openxmlformats.org/officeDocument/2006/relationships/image" Target="media/image8.png"/><Relationship Id="rId16" Type="http://schemas.openxmlformats.org/officeDocument/2006/relationships/image" Target="media/image6.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PsoqfezkrOy1dRdvdiAny9qFRg==">CgMxLjA4AHIhMU9oR2VpcTVKeGtsOVdpcWpmdjJpbnotY2Q5VVF6Uk4z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2024-03-13T13:35:00Z</dcterms:created>
  <dc:creator/>
</cp:coreProperties>
</file>