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9.png" ContentType="image/png"/>
  <Override PartName="/word/media/image8.jpeg" ContentType="image/jpeg"/>
  <Override PartName="/word/media/image2.jpeg" ContentType="image/jpeg"/>
  <Override PartName="/word/media/image3.jpeg" ContentType="image/jpeg"/>
  <Override PartName="/word/media/image6.png" ContentType="image/png"/>
  <Override PartName="/word/media/image10.jpeg" ContentType="image/jpeg"/>
  <Override PartName="/word/media/image5.jpeg" ContentType="image/jpeg"/>
  <Override PartName="/word/media/image4.png" ContentType="image/png"/>
  <Override PartName="/word/media/image7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Nufer Ceratherm Technical Training</w:t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What is a radiant warmer and why are they used?</w:t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Cs w:val="false"/>
          <w:sz w:val="16"/>
          <w:szCs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83685" cy="1683385"/>
            <wp:effectExtent l="0" t="0" r="0" b="0"/>
            <wp:wrapTopAndBottom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685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 w:val="false"/>
          <w:bCs w:val="false"/>
          <w:sz w:val="16"/>
          <w:szCs w:val="16"/>
        </w:rPr>
        <w:t>Ceratherm 600-3</w:t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A radiant warmer is a device used to deliver gentle heat in a clinical application.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Heat has a tendency to flow in the heat gradient direction, i.e. from high temperature to low temperature.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Ceratherm radiant warmers can be used on adult, paediatric and neonatal patients, with neonatal being the most common.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Neonates have low body mass, so they can lose heat rapidly. Radiant warmers help to keep the body temperature constant in the time immediately after delivery.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Ceratherm radiant warmers provide a curtain of warmth to prevent heat loss. </w:t>
      </w:r>
      <w:r>
        <w:br w:type="page"/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Mounting options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Ceratherm radiant warmers can be wall mounted, ceiling mounted or free standing.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143510</wp:posOffset>
            </wp:positionH>
            <wp:positionV relativeFrom="paragraph">
              <wp:posOffset>469900</wp:posOffset>
            </wp:positionV>
            <wp:extent cx="3170555" cy="3056255"/>
            <wp:effectExtent l="0" t="0" r="0" b="0"/>
            <wp:wrapTopAndBottom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6647180</wp:posOffset>
            </wp:positionH>
            <wp:positionV relativeFrom="paragraph">
              <wp:posOffset>381000</wp:posOffset>
            </wp:positionV>
            <wp:extent cx="2103120" cy="3750945"/>
            <wp:effectExtent l="0" t="0" r="0" b="0"/>
            <wp:wrapTopAndBottom/>
            <wp:docPr id="3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3690620</wp:posOffset>
            </wp:positionH>
            <wp:positionV relativeFrom="paragraph">
              <wp:posOffset>374015</wp:posOffset>
            </wp:positionV>
            <wp:extent cx="2113280" cy="3656965"/>
            <wp:effectExtent l="0" t="0" r="0" b="0"/>
            <wp:wrapTopAndBottom/>
            <wp:docPr id="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365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The most commonly supplied type is the wall mounted radiant warmer with double hinged arm (p/n 0310302), it is not height adjustable and requires a minimum clearance distance of 80 cm from the underside of the warmer head unit to the patient surface.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The radiant warmer on mobile floor stand (p/n 0310304) is height adjustable and also requires a minimum clearance of 80 cm.</w:t>
      </w:r>
      <w:r>
        <w:br w:type="page"/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How do radiant warmers generate heat?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 xml:space="preserve">Ceratherm radiant warmers utilise a 600W ceramic heating element, housed in front of a metal reflector to spread the heat evenly. 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  <w:t>The underside also features an LED lamp for illumination of the patient surface.</w:t>
      </w:r>
    </w:p>
    <w:p>
      <w:pPr>
        <w:pStyle w:val="Normal"/>
        <w:jc w:val="left"/>
        <w:rPr>
          <w:rFonts w:ascii="Arial" w:hAnsi="Arial"/>
          <w:b w:val="false"/>
          <w:bCs w:val="false"/>
          <w:sz w:val="24"/>
          <w:szCs w:val="24"/>
        </w:rPr>
      </w:pPr>
      <w:r>
        <w:rPr>
          <w:rFonts w:ascii="Arial" w:hAnsi="Arial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Arial" w:hAnsi="Arial"/>
          <w:b w:val="false"/>
          <w:bCs w:val="false"/>
          <w:sz w:val="16"/>
          <w:szCs w:val="16"/>
        </w:rPr>
      </w:pPr>
      <w: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1708150</wp:posOffset>
            </wp:positionH>
            <wp:positionV relativeFrom="paragraph">
              <wp:posOffset>73025</wp:posOffset>
            </wp:positionV>
            <wp:extent cx="5844540" cy="4297680"/>
            <wp:effectExtent l="0" t="0" r="0" b="0"/>
            <wp:wrapTopAndBottom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 w:val="false"/>
          <w:bCs w:val="false"/>
          <w:sz w:val="16"/>
          <w:szCs w:val="16"/>
        </w:rPr>
        <w:t>Description of parts from Instructions For Use</w:t>
      </w:r>
    </w:p>
    <w:p>
      <w:pPr>
        <w:pStyle w:val="Normal"/>
        <w:jc w:val="left"/>
        <w:rPr/>
      </w:pPr>
      <w:r>
        <w:rPr>
          <w:rFonts w:ascii="Arial" w:hAnsi="Arial"/>
          <w:b w:val="false"/>
          <w:bCs w:val="false"/>
          <w:sz w:val="24"/>
          <w:szCs w:val="24"/>
        </w:rPr>
        <w:t>The heating element</w:t>
      </w:r>
      <w:r>
        <w:rPr>
          <w:rFonts w:ascii="ArialMT" w:hAnsi="ArialMT"/>
        </w:rPr>
        <w:t xml:space="preserve"> </w:t>
      </w:r>
      <w:r>
        <w:rPr>
          <w:rFonts w:ascii="ArialMT" w:hAnsi="ArialMT"/>
          <w:b w:val="false"/>
          <w:i w:val="false"/>
          <w:color w:val="000000"/>
          <w:sz w:val="24"/>
        </w:rPr>
        <w:t>generates invisible infrared radiation at a wavelength of</w:t>
      </w:r>
      <w:r>
        <w:rPr>
          <w:rFonts w:ascii="ArialMT" w:hAnsi="ArialMT"/>
          <w:b w:val="false"/>
          <w:bCs w:val="false"/>
          <w:sz w:val="24"/>
          <w:szCs w:val="24"/>
        </w:rPr>
        <w:t xml:space="preserve"> around </w:t>
      </w:r>
      <w:r>
        <w:rPr>
          <w:rFonts w:ascii="ArialMT" w:hAnsi="ArialMT"/>
          <w:b w:val="false"/>
          <w:bCs w:val="false"/>
          <w:i w:val="false"/>
          <w:color w:val="000000"/>
          <w:sz w:val="24"/>
          <w:szCs w:val="24"/>
        </w:rPr>
        <w:t>3 µm. This part of the radiation spectrum is absorbed very effectively by the skin and causes no harm to the patient’s eyes.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Controlling the temperature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Radiant Warmers can be manual or automatic using a servo system in which heat output is determined automatically based on skin temperature, they use skin temperature probes to feed information back to the radiant warmer.</w:t>
      </w:r>
      <w:r>
        <w:rPr>
          <w:rFonts w:ascii="Arial" w:hAnsi="Arial"/>
          <w:b w:val="false"/>
          <w:bCs w:val="false"/>
          <w:color w:val="000000"/>
          <w:sz w:val="24"/>
          <w:szCs w:val="24"/>
        </w:rPr>
        <w:t xml:space="preserve">  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/>
          <w:bCs/>
          <w:color w:val="2A6099"/>
          <w:sz w:val="24"/>
          <w:szCs w:val="24"/>
        </w:rPr>
        <w:t>All Ceratherm radiant warmers are manual control</w:t>
      </w:r>
      <w:r>
        <w:rPr>
          <w:rFonts w:ascii="Arial" w:hAnsi="Arial"/>
          <w:b w:val="false"/>
          <w:bCs w:val="false"/>
          <w:color w:val="000000"/>
          <w:sz w:val="24"/>
          <w:szCs w:val="24"/>
        </w:rPr>
        <w:t>: heat output is adjusted using power settings, levels 1 to 4, which are set by pressing the corresponding button on the control panel, which illuminate to show the current setting.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277495</wp:posOffset>
            </wp:positionV>
            <wp:extent cx="4493260" cy="1730375"/>
            <wp:effectExtent l="0" t="0" r="0" b="0"/>
            <wp:wrapTopAndBottom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26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  <w:t>The following standard values are set by default: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  <w:tab/>
      </w:r>
      <w:r>
        <w:rPr>
          <w:rFonts w:ascii="Arial" w:hAnsi="Arial"/>
          <w:b/>
          <w:bCs/>
          <w:color w:val="2A6099"/>
          <w:sz w:val="24"/>
          <w:szCs w:val="24"/>
        </w:rPr>
        <w:t>Level 1 = 20%</w:t>
        <w:tab/>
        <w:t>Level 2 = 50 %</w:t>
        <w:tab/>
        <w:t>Level 3 = 75 %</w:t>
        <w:tab/>
        <w:t>Level 4 = 98 %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  <w:sz w:val="24"/>
          <w:szCs w:val="24"/>
        </w:rPr>
      </w:pPr>
      <w:r>
        <w:rPr>
          <w:rFonts w:ascii="Arial" w:hAnsi="Arial"/>
          <w:b w:val="false"/>
          <w:bCs w:val="false"/>
          <w:color w:val="000000"/>
          <w:sz w:val="24"/>
          <w:szCs w:val="24"/>
        </w:rPr>
      </w:r>
    </w:p>
    <w:tbl>
      <w:tblPr>
        <w:tblW w:w="85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7595"/>
      </w:tblGrid>
      <w:tr>
        <w:trPr/>
        <w:tc>
          <w:tcPr>
            <w:tcW w:w="992" w:type="dxa"/>
            <w:tcBorders/>
          </w:tcPr>
          <w:p>
            <w:pPr>
              <w:pStyle w:val="TableText"/>
              <w:widowControl w:val="false"/>
              <w:rPr>
                <w:rFonts w:ascii="Arial" w:hAnsi="Arial" w:cs="Arial"/>
                <w:sz w:val="22"/>
              </w:rPr>
            </w:pPr>
            <w:r>
              <w:rPr/>
              <w:drawing>
                <wp:inline distT="0" distB="0" distL="0" distR="0">
                  <wp:extent cx="567690" cy="545465"/>
                  <wp:effectExtent l="0" t="0" r="0" b="0"/>
                  <wp:docPr id="7" name="Image1 Copy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1 Copy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23" t="-17" r="-23" b="32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4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/>
          </w:tcPr>
          <w:p>
            <w:pPr>
              <w:pStyle w:val="TableText"/>
              <w:widowControl w:val="false"/>
              <w:snapToGrid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TableText"/>
              <w:widowControl w:val="false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cs="Arial" w:ascii="Arial" w:hAnsi="Arial"/>
                <w:b/>
                <w:bCs/>
                <w:sz w:val="22"/>
              </w:rPr>
              <w:t>WARNING!</w:t>
            </w:r>
          </w:p>
          <w:p>
            <w:pPr>
              <w:pStyle w:val="Table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The radiant warmer must not be left unattended whilst in use.</w:t>
            </w:r>
          </w:p>
        </w:tc>
      </w:tr>
    </w:tbl>
    <w:p>
      <w:pPr>
        <w:pStyle w:val="Heading9"/>
        <w:numPr>
          <w:ilvl w:val="0"/>
          <w:numId w:val="0"/>
        </w:numPr>
        <w:ind w:left="0" w:hanging="0"/>
        <w:rPr>
          <w:rFonts w:ascii="Arial" w:hAnsi="Arial" w:cs="Arial"/>
          <w:sz w:val="22"/>
        </w:rPr>
      </w:pPr>
      <w:r>
        <w:rPr>
          <w:sz w:val="24"/>
          <w:szCs w:val="24"/>
          <w:u w:val="none"/>
        </w:rPr>
        <w:t>Alarm and safety-power function</w:t>
      </w:r>
    </w:p>
    <w:p>
      <w:pPr>
        <w:pStyle w:val="Normal"/>
        <w:rPr>
          <w:rFonts w:ascii="Arial" w:hAnsi="Arial" w:cs="Arial"/>
          <w:sz w:val="24"/>
          <w:szCs w:val="24"/>
          <w:shd w:fill="FFFF00" w:val="clear"/>
        </w:rPr>
      </w:pPr>
      <w:r>
        <w:rPr>
          <w:rFonts w:cs="Arial" w:ascii="Arial" w:hAnsi="Arial"/>
          <w:sz w:val="24"/>
          <w:szCs w:val="24"/>
          <w:shd w:fill="FFFF00" w:val="clear"/>
        </w:rPr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" w:hAnsi="Arial"/>
          <w:sz w:val="24"/>
          <w:szCs w:val="24"/>
        </w:rPr>
        <w:t>The radiant warmer incorporates a safety feature, which reduces the output power if the device is left unattended. An audible and visual alarm is triggered 15 minutes after the last key-press; this is to inform the operator that the device is still active.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" w:hAnsi="Arial"/>
          <w:sz w:val="24"/>
          <w:szCs w:val="24"/>
        </w:rPr>
        <w:t>If after 8 seconds from the onset of the alarm condition the alarm has not been cancelled, the heat output of the radiant warmer reduces to a power level of 20% and will remain at this level until the red illuminated alarm button is pressed.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" w:hAnsi="Arial"/>
          <w:sz w:val="24"/>
          <w:szCs w:val="24"/>
        </w:rPr>
        <w:t xml:space="preserve">When the alarm is reset, the device powers back up to it’s previous heat setting and the 15-minute cycle repeats.  </w:t>
        <w:br/>
      </w:r>
    </w:p>
    <w:p>
      <w:pPr>
        <w:pStyle w:val="Heading9"/>
        <w:numPr>
          <w:ilvl w:val="0"/>
          <w:numId w:val="0"/>
        </w:numPr>
        <w:ind w:left="0" w:hanging="0"/>
        <w:rPr>
          <w:rFonts w:ascii="Arial" w:hAnsi="Arial" w:cs="Arial"/>
          <w:sz w:val="22"/>
        </w:rPr>
      </w:pPr>
      <w:r>
        <w:rPr>
          <w:b/>
          <w:bCs/>
          <w:sz w:val="24"/>
          <w:szCs w:val="24"/>
          <w:u w:val="none"/>
        </w:rPr>
        <w:t>LED heating indicator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The Heating Indicator illuminates when the element is being heated, and is off when it is not.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center</wp:align>
            </wp:positionH>
            <wp:positionV relativeFrom="paragraph">
              <wp:posOffset>54610</wp:posOffset>
            </wp:positionV>
            <wp:extent cx="2516505" cy="1800225"/>
            <wp:effectExtent l="0" t="0" r="0" b="0"/>
            <wp:wrapTopAndBottom/>
            <wp:docPr id="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0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This ‘duty-cycle’ occurs over a period of 2 seconds, the percentage of time that the indicator is illuminated during that cycle represents the power level in terms of a percentage of the maximum output.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sz w:val="22"/>
        </w:rPr>
      </w:pPr>
      <w:r>
        <w:rPr>
          <w:rFonts w:cs="Arial" w:ascii="ArialMT" w:hAnsi="ArialMT"/>
          <w:b w:val="false"/>
          <w:bCs w:val="false"/>
          <w:sz w:val="24"/>
          <w:szCs w:val="24"/>
        </w:rPr>
        <w:t>Example: i</w:t>
      </w:r>
      <w:r>
        <w:rPr>
          <w:rFonts w:cs="Arial" w:ascii="ArialMT" w:hAnsi="ArialMT"/>
          <w:b w:val="false"/>
          <w:bCs/>
          <w:i w:val="false"/>
          <w:color w:val="000000"/>
          <w:sz w:val="24"/>
          <w:szCs w:val="24"/>
        </w:rPr>
        <w:t xml:space="preserve">f a 50% output has been selected, for example, the LED lights up for roughly 1 second and is out for roughly 1 second. </w:t>
      </w:r>
      <w:r>
        <w:br w:type="page"/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LED lamp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The Ceratherm 600-3 has a LED lamp with 2 brightness settings, activated using the buttons on the control panel.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center</wp:align>
            </wp:positionH>
            <wp:positionV relativeFrom="paragraph">
              <wp:posOffset>221615</wp:posOffset>
            </wp:positionV>
            <wp:extent cx="2820670" cy="1597025"/>
            <wp:effectExtent l="0" t="0" r="0" b="0"/>
            <wp:wrapTopAndBottom/>
            <wp:docPr id="9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The low setting is 20% of full brightness, the high setting is 100%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Mains failure detection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The Ceratherm 600-3 has an internal capacitor that allows the control system to remain active and sustain an audible alarm for a period of 10 – 15 minutes.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If the power returns whilst the control panel is still active, the device will return to normal operation at the previous heat setting.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If the capacitor becomes drained due to a longer power outage, the device will enter standby mode; to reactivate it, it must be switched on again and the power level must be selected. </w:t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  <w:r>
        <w:br w:type="page"/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Infant Resuscitation Cabinet</w:t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Most of the Ceratherm radiant warmers that Viamed has supplied included with the wall mounted </w:t>
      </w:r>
      <w:r>
        <w:rPr>
          <w:rFonts w:cs="Arial" w:ascii="Arial" w:hAnsi="Arial"/>
          <w:b/>
          <w:bCs/>
          <w:color w:val="2A6099"/>
          <w:sz w:val="24"/>
          <w:szCs w:val="24"/>
        </w:rPr>
        <w:t>Infant Resuscitation Cabinet</w:t>
      </w:r>
      <w:r>
        <w:rPr>
          <w:rFonts w:cs="Arial" w:ascii="Arial" w:hAnsi="Arial"/>
          <w:b/>
          <w:bCs/>
          <w:color w:val="000000"/>
          <w:sz w:val="24"/>
          <w:szCs w:val="24"/>
        </w:rPr>
        <w:t>,</w:t>
      </w:r>
      <w:r>
        <w:rPr>
          <w:rFonts w:cs="Arial" w:ascii="Arial" w:hAnsi="Arial"/>
          <w:b/>
          <w:bCs/>
          <w:color w:val="2A6099"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color w:val="000000"/>
          <w:sz w:val="24"/>
          <w:szCs w:val="24"/>
        </w:rPr>
        <w:t xml:space="preserve">which is now discontinued. </w:t>
      </w:r>
    </w:p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212080" cy="3996055"/>
            <wp:effectExtent l="0" t="0" r="0" b="0"/>
            <wp:wrapTopAndBottom/>
            <wp:docPr id="10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3996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 w:val="false"/>
          <w:bCs w:val="false"/>
          <w:color w:val="000000"/>
          <w:sz w:val="16"/>
          <w:szCs w:val="16"/>
        </w:rPr>
        <w:t>Infant Resuscitation cabinet installed in a Delivery Suite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</w:r>
      <w:r>
        <w:br w:type="page"/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Warranty</w:t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 xml:space="preserve">The customer warranty is 12 months from the date of invoice on all Ceratherm radiant warmers. </w:t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Maintenance/Service</w:t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Viamed no longer offers on-site servicing at customer premises for radiant warmers or the Viamed Infant Resuscitation Cabinet.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Spare parts are available, please be sure to ask the customer for the exact model to ensure compatibility. A service manual can be provided to assist with repairs.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Radiant warmers can be returned to Viamed for service, but this is discouraged due to the potential for damage to the ceramic element, which is brittle.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For devices returned to Viamed, repairs are carried out using the standard labour rate plus the cost of replacement parts.</w:t>
      </w:r>
    </w:p>
    <w:p>
      <w:pPr>
        <w:pStyle w:val="Normal"/>
        <w:rPr/>
      </w:pPr>
      <w:r>
        <w:rPr/>
      </w:r>
    </w:p>
    <w:p>
      <w:pPr>
        <w:pStyle w:val="Normal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/>
          <w:bCs/>
        </w:rPr>
        <w:t>Latex</w:t>
      </w:r>
      <w:r>
        <w:rPr>
          <w:rFonts w:ascii="Arial" w:hAnsi="Arial"/>
          <w:b w:val="false"/>
          <w:bCs w:val="false"/>
        </w:rPr>
        <w:t xml:space="preserve"> </w:t>
      </w:r>
    </w:p>
    <w:p>
      <w:pPr>
        <w:pStyle w:val="Normal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</w:rPr>
      </w:pPr>
      <w:r>
        <w:rPr>
          <w:rFonts w:ascii="Arial" w:hAnsi="Arial"/>
          <w:b w:val="false"/>
          <w:bCs w:val="false"/>
          <w:color w:val="000000"/>
        </w:rPr>
        <w:t xml:space="preserve">All devices are latex-free. </w:t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</w:rPr>
      </w:pPr>
      <w:r>
        <w:rPr>
          <w:rFonts w:ascii="Arial" w:hAnsi="Arial"/>
          <w:b w:val="false"/>
          <w:bCs w:val="false"/>
          <w:color w:val="000000"/>
        </w:rPr>
      </w:r>
    </w:p>
    <w:p>
      <w:pPr>
        <w:pStyle w:val="Normal"/>
        <w:jc w:val="left"/>
        <w:rPr>
          <w:rFonts w:ascii="Arial" w:hAnsi="Arial"/>
          <w:b w:val="false"/>
          <w:bCs w:val="false"/>
          <w:color w:val="000000"/>
        </w:rPr>
      </w:pPr>
      <w:r>
        <w:rPr>
          <w:rFonts w:ascii="Arial" w:hAnsi="Arial"/>
          <w:b w:val="false"/>
          <w:bCs w:val="false"/>
          <w:color w:val="000000"/>
        </w:rPr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Where to find additional information 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Viamed website</w:t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Nufer website</w:t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Product leaflets – linked to stock pages</w:t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FAQs on the stock page</w:t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Memos on the stock page</w:t>
      </w:r>
    </w:p>
    <w:p>
      <w:pPr>
        <w:pStyle w:val="Normal"/>
        <w:numPr>
          <w:ilvl w:val="0"/>
          <w:numId w:val="2"/>
        </w:numPr>
        <w:jc w:val="left"/>
        <w:rPr>
          <w:rFonts w:ascii="Arial" w:hAnsi="Arial"/>
          <w:b w:val="false"/>
          <w:bCs w:val="false"/>
        </w:rPr>
      </w:pPr>
      <w:r>
        <w:rPr>
          <w:rFonts w:ascii="Arial" w:hAnsi="Arial"/>
          <w:b w:val="false"/>
          <w:bCs w:val="false"/>
        </w:rPr>
        <w:t>Instructions for use</w:t>
      </w:r>
    </w:p>
    <w:sectPr>
      <w:headerReference w:type="default" r:id="rId12"/>
      <w:type w:val="nextPage"/>
      <w:pgSz w:orient="landscape" w:w="16838" w:h="11906"/>
      <w:pgMar w:left="1134" w:right="1134" w:gutter="0" w:header="1134" w:top="1969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MT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Nufer Ceratherm Technical Training</w:t>
    </w:r>
  </w:p>
  <w:p>
    <w:pPr>
      <w:pStyle w:val="Header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Steve Hardaker - July 23</w:t>
    </w:r>
  </w:p>
  <w:p>
    <w:pPr>
      <w:pStyle w:val="Header"/>
      <w:jc w:val="right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rFonts w:ascii="Arial" w:hAnsi="Arial" w:cs="Arial"/>
      <w:b/>
      <w:bCs/>
      <w:sz w:val="22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TableText">
    <w:name w:val="Table Text"/>
    <w:basedOn w:val="Normal"/>
    <w:qFormat/>
    <w:pPr>
      <w:tabs>
        <w:tab w:val="clear" w:pos="709"/>
        <w:tab w:val="decimal" w:pos="0" w:leader="none"/>
      </w:tabs>
    </w:pPr>
    <w:rPr>
      <w:szCs w:val="24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png"/><Relationship Id="rId11" Type="http://schemas.openxmlformats.org/officeDocument/2006/relationships/image" Target="media/image10.jpeg"/><Relationship Id="rId12" Type="http://schemas.openxmlformats.org/officeDocument/2006/relationships/header" Target="header1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114</TotalTime>
  <Application>LibreOffice/7.5.1.2$Windows_X86_64 LibreOffice_project/fcbaee479e84c6cd81291587d2ee68cba099e129</Application>
  <AppVersion>15.0000</AppVersion>
  <Pages>8</Pages>
  <Words>881</Words>
  <Characters>4393</Characters>
  <CharactersWithSpaces>5235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2023-07-14T09:55:52Z</dcterms:created>
  <dc:creator/>
  <dc:description/>
  <dc:language>en-GB</dc:language>
  <cp:lastModifiedBy/>
  <dcterms:modified xsi:type="dcterms:W3CDTF">2023-07-20T17:16:58Z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